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A8E20" w14:textId="7BA62024" w:rsidR="00C16B34" w:rsidRPr="00C16B34" w:rsidRDefault="00AA308F" w:rsidP="00C16B34">
      <w:pPr>
        <w:pStyle w:val="OZNPROJEKTUwskazaniedatylubwersjiprojektu"/>
        <w:keepNext/>
        <w:rPr>
          <w:rFonts w:cs="Times New Roman"/>
        </w:rPr>
      </w:pPr>
      <w:bookmarkStart w:id="0" w:name="_GoBack"/>
      <w:bookmarkEnd w:id="0"/>
      <w:r w:rsidRPr="00570C83">
        <w:rPr>
          <w:rFonts w:cs="Times New Roman"/>
        </w:rPr>
        <w:t>Projekt z dnia</w:t>
      </w:r>
      <w:r w:rsidR="00873CAB">
        <w:rPr>
          <w:rFonts w:cs="Times New Roman"/>
        </w:rPr>
        <w:t xml:space="preserve"> </w:t>
      </w:r>
      <w:r w:rsidR="00D744DD">
        <w:rPr>
          <w:rFonts w:cs="Times New Roman"/>
        </w:rPr>
        <w:t>2</w:t>
      </w:r>
      <w:r w:rsidR="00146FF4">
        <w:rPr>
          <w:rFonts w:cs="Times New Roman"/>
        </w:rPr>
        <w:t>5</w:t>
      </w:r>
      <w:r w:rsidR="00F66201">
        <w:rPr>
          <w:rFonts w:cs="Times New Roman"/>
        </w:rPr>
        <w:t xml:space="preserve"> </w:t>
      </w:r>
      <w:r w:rsidR="00217151">
        <w:rPr>
          <w:rFonts w:cs="Times New Roman"/>
        </w:rPr>
        <w:t xml:space="preserve">października </w:t>
      </w:r>
      <w:r w:rsidR="00873CAB">
        <w:rPr>
          <w:rFonts w:cs="Times New Roman"/>
        </w:rPr>
        <w:t>2021 r.</w:t>
      </w:r>
    </w:p>
    <w:p w14:paraId="78CB33BE" w14:textId="77777777" w:rsidR="00AA308F" w:rsidRPr="00570C83" w:rsidRDefault="00AA308F" w:rsidP="00AA308F">
      <w:pPr>
        <w:pStyle w:val="OZNRODZAKTUtznustawalubrozporzdzenieiorganwydajcy"/>
        <w:rPr>
          <w:rFonts w:ascii="Times New Roman" w:hAnsi="Times New Roman"/>
        </w:rPr>
      </w:pPr>
      <w:r w:rsidRPr="00570C83">
        <w:rPr>
          <w:rFonts w:ascii="Times New Roman" w:hAnsi="Times New Roman"/>
        </w:rPr>
        <w:t>Ustawa</w:t>
      </w:r>
    </w:p>
    <w:p w14:paraId="268D033A" w14:textId="77777777" w:rsidR="00525B2F" w:rsidRDefault="00525B2F" w:rsidP="00525B2F">
      <w:pPr>
        <w:pStyle w:val="DATAAKTUdatauchwalenialubwydaniaaktu"/>
        <w:rPr>
          <w:rFonts w:ascii="Times New Roman" w:hAnsi="Times New Roman" w:cs="Times New Roman"/>
        </w:rPr>
      </w:pPr>
      <w:r>
        <w:rPr>
          <w:rFonts w:ascii="Times New Roman" w:hAnsi="Times New Roman" w:cs="Times New Roman"/>
        </w:rPr>
        <w:t>z dnia</w:t>
      </w:r>
      <w:r w:rsidR="00C56B32">
        <w:rPr>
          <w:rFonts w:ascii="Times New Roman" w:hAnsi="Times New Roman" w:cs="Times New Roman"/>
        </w:rPr>
        <w:t xml:space="preserve"> </w:t>
      </w:r>
      <w:r w:rsidR="00D038E8">
        <w:rPr>
          <w:rFonts w:ascii="Times New Roman" w:hAnsi="Times New Roman" w:cs="Times New Roman"/>
        </w:rPr>
        <w:t>…</w:t>
      </w:r>
      <w:r w:rsidR="00C56B32">
        <w:rPr>
          <w:rFonts w:ascii="Times New Roman" w:hAnsi="Times New Roman" w:cs="Times New Roman"/>
        </w:rPr>
        <w:t xml:space="preserve">……………….. </w:t>
      </w:r>
      <w:r>
        <w:rPr>
          <w:rFonts w:ascii="Times New Roman" w:hAnsi="Times New Roman" w:cs="Times New Roman"/>
        </w:rPr>
        <w:t xml:space="preserve">r. </w:t>
      </w:r>
    </w:p>
    <w:p w14:paraId="0AC17DA6" w14:textId="77777777" w:rsidR="00AA308F" w:rsidRPr="00570C83" w:rsidRDefault="00AA308F" w:rsidP="00283538">
      <w:pPr>
        <w:pStyle w:val="TYTUAKTUprzedmiotregulacjiustawylubrozporzdzenia"/>
        <w:rPr>
          <w:rStyle w:val="IGindeksgrny"/>
          <w:rFonts w:ascii="Times New Roman" w:hAnsi="Times New Roman" w:cs="Times New Roman"/>
        </w:rPr>
      </w:pPr>
      <w:r w:rsidRPr="00570C83">
        <w:rPr>
          <w:rFonts w:ascii="Times New Roman" w:hAnsi="Times New Roman" w:cs="Times New Roman"/>
        </w:rPr>
        <w:t>o zmianie ustawy o dostępności cyfrowej stron internetowych i aplikacji mobilnych podmiotów publicznych</w:t>
      </w:r>
    </w:p>
    <w:p w14:paraId="3BFDF7E9" w14:textId="77777777" w:rsidR="00AA308F" w:rsidRPr="00570C83" w:rsidRDefault="00C16B34" w:rsidP="00C63D79">
      <w:pPr>
        <w:pStyle w:val="ARTartustawynprozporzdzenia"/>
        <w:keepNext/>
        <w:rPr>
          <w:rFonts w:ascii="Times New Roman" w:hAnsi="Times New Roman" w:cs="Times New Roman"/>
        </w:rPr>
      </w:pPr>
      <w:r>
        <w:rPr>
          <w:rStyle w:val="Ppogrubienie"/>
          <w:rFonts w:ascii="Times New Roman" w:hAnsi="Times New Roman" w:cs="Times New Roman"/>
        </w:rPr>
        <w:t xml:space="preserve">Art. </w:t>
      </w:r>
      <w:r w:rsidR="00AA308F" w:rsidRPr="00570C83">
        <w:rPr>
          <w:rStyle w:val="Ppogrubienie"/>
          <w:rFonts w:ascii="Times New Roman" w:hAnsi="Times New Roman" w:cs="Times New Roman"/>
        </w:rPr>
        <w:t>1.</w:t>
      </w:r>
      <w:r>
        <w:rPr>
          <w:rFonts w:ascii="Times New Roman" w:hAnsi="Times New Roman" w:cs="Times New Roman"/>
        </w:rPr>
        <w:t xml:space="preserve"> </w:t>
      </w:r>
      <w:r w:rsidR="00AA308F" w:rsidRPr="00570C83">
        <w:rPr>
          <w:rFonts w:ascii="Times New Roman" w:hAnsi="Times New Roman" w:cs="Times New Roman"/>
        </w:rPr>
        <w:t xml:space="preserve">W ustawie </w:t>
      </w:r>
      <w:r w:rsidR="00570C83">
        <w:rPr>
          <w:rFonts w:ascii="Times New Roman" w:hAnsi="Times New Roman" w:cs="Times New Roman"/>
        </w:rPr>
        <w:t xml:space="preserve">z </w:t>
      </w:r>
      <w:r w:rsidR="00AA308F" w:rsidRPr="00570C83">
        <w:rPr>
          <w:rFonts w:ascii="Times New Roman" w:hAnsi="Times New Roman" w:cs="Times New Roman"/>
        </w:rPr>
        <w:t xml:space="preserve">dnia 4 kwietnia 2019 r. o dostępności cyfrowej stron internetowych </w:t>
      </w:r>
      <w:r>
        <w:rPr>
          <w:rFonts w:ascii="Times New Roman" w:hAnsi="Times New Roman" w:cs="Times New Roman"/>
        </w:rPr>
        <w:br/>
      </w:r>
      <w:r w:rsidR="00AA308F" w:rsidRPr="00570C83">
        <w:rPr>
          <w:rFonts w:ascii="Times New Roman" w:hAnsi="Times New Roman" w:cs="Times New Roman"/>
        </w:rPr>
        <w:t>i</w:t>
      </w:r>
      <w:r>
        <w:rPr>
          <w:rFonts w:ascii="Times New Roman" w:hAnsi="Times New Roman" w:cs="Times New Roman"/>
        </w:rPr>
        <w:t xml:space="preserve"> </w:t>
      </w:r>
      <w:r w:rsidR="00AA308F" w:rsidRPr="00570C83">
        <w:rPr>
          <w:rFonts w:ascii="Times New Roman" w:hAnsi="Times New Roman" w:cs="Times New Roman"/>
        </w:rPr>
        <w:t>aplikacji mobilnych podmiotów publicznych (Dz. U. poz. 848) wprowadza się następujące zmiany:</w:t>
      </w:r>
    </w:p>
    <w:p w14:paraId="191C7EBD" w14:textId="77777777" w:rsidR="00B72E0C" w:rsidRPr="00CF7A1C" w:rsidRDefault="00A17B0D" w:rsidP="00C63D79">
      <w:pPr>
        <w:pStyle w:val="PKTpunkt"/>
        <w:rPr>
          <w:rFonts w:ascii="Times New Roman" w:hAnsi="Times New Roman" w:cs="Times New Roman"/>
        </w:rPr>
      </w:pPr>
      <w:r w:rsidRPr="00CF7A1C">
        <w:rPr>
          <w:rFonts w:ascii="Times New Roman" w:hAnsi="Times New Roman" w:cs="Times New Roman"/>
        </w:rPr>
        <w:t>1</w:t>
      </w:r>
      <w:r w:rsidR="00AA308F" w:rsidRPr="00CF7A1C">
        <w:rPr>
          <w:rFonts w:ascii="Times New Roman" w:hAnsi="Times New Roman" w:cs="Times New Roman"/>
        </w:rPr>
        <w:t>)</w:t>
      </w:r>
      <w:r w:rsidR="00C16B34">
        <w:rPr>
          <w:rFonts w:ascii="Times New Roman" w:hAnsi="Times New Roman" w:cs="Times New Roman"/>
        </w:rPr>
        <w:tab/>
      </w:r>
      <w:r w:rsidR="00AA308F" w:rsidRPr="00CF7A1C">
        <w:rPr>
          <w:rFonts w:ascii="Times New Roman" w:hAnsi="Times New Roman" w:cs="Times New Roman"/>
        </w:rPr>
        <w:t>w art. 3</w:t>
      </w:r>
      <w:r w:rsidR="00B72E0C" w:rsidRPr="00CF7A1C">
        <w:rPr>
          <w:rFonts w:ascii="Times New Roman" w:hAnsi="Times New Roman" w:cs="Times New Roman"/>
        </w:rPr>
        <w:t>:</w:t>
      </w:r>
    </w:p>
    <w:p w14:paraId="7536CB02" w14:textId="77777777" w:rsidR="00FB1FB2" w:rsidRDefault="00FB1FB2" w:rsidP="00DE3430">
      <w:pPr>
        <w:pStyle w:val="LITlitera"/>
      </w:pPr>
      <w:r>
        <w:t>a)</w:t>
      </w:r>
      <w:r w:rsidR="00CE0013">
        <w:tab/>
      </w:r>
      <w:r w:rsidR="00B72E0C" w:rsidRPr="00CF7A1C">
        <w:t>w ust. 2</w:t>
      </w:r>
      <w:r>
        <w:t>:</w:t>
      </w:r>
    </w:p>
    <w:p w14:paraId="52170E53" w14:textId="77777777" w:rsidR="00FB1FB2" w:rsidRDefault="00FB1FB2" w:rsidP="00DE3430">
      <w:pPr>
        <w:pStyle w:val="TIRtiret"/>
      </w:pPr>
      <w:r>
        <w:t>–</w:t>
      </w:r>
      <w:r>
        <w:tab/>
        <w:t>po pkt 3</w:t>
      </w:r>
      <w:r w:rsidR="00B72E0C" w:rsidRPr="00CF7A1C">
        <w:t xml:space="preserve"> </w:t>
      </w:r>
      <w:r w:rsidRPr="00CF7A1C">
        <w:t xml:space="preserve">dodaje się pkt 3a </w:t>
      </w:r>
      <w:r>
        <w:t>w brzmieniu:</w:t>
      </w:r>
    </w:p>
    <w:p w14:paraId="598D7711" w14:textId="77777777" w:rsidR="00FB1FB2" w:rsidRPr="001C532B" w:rsidRDefault="00FB1FB2" w:rsidP="00D45988">
      <w:pPr>
        <w:pStyle w:val="ZTIRPKTzmpkttiret"/>
      </w:pPr>
      <w:r w:rsidRPr="001C532B">
        <w:t>„3a)</w:t>
      </w:r>
      <w:r w:rsidR="00C16B34">
        <w:tab/>
      </w:r>
      <w:r w:rsidR="00525B2F">
        <w:t>n</w:t>
      </w:r>
      <w:r w:rsidRPr="001C532B">
        <w:t>arzędzi edytorskich służących do tworzenia lub modyfikowania zawartości strony internetowej</w:t>
      </w:r>
      <w:r w:rsidR="00A34367">
        <w:t>;</w:t>
      </w:r>
      <w:r w:rsidRPr="001C532B">
        <w:t>”,</w:t>
      </w:r>
    </w:p>
    <w:p w14:paraId="231DBD1D" w14:textId="77777777" w:rsidR="00FB1FB2" w:rsidRPr="001C532B" w:rsidRDefault="005A77A3" w:rsidP="00DE3430">
      <w:pPr>
        <w:pStyle w:val="TIRtiret"/>
      </w:pPr>
      <w:r>
        <w:t>–</w:t>
      </w:r>
      <w:r>
        <w:tab/>
      </w:r>
      <w:r w:rsidR="00D038E8">
        <w:t xml:space="preserve">w </w:t>
      </w:r>
      <w:r w:rsidR="00FB1FB2" w:rsidRPr="001C532B">
        <w:t>pkt 5 lit. a otrzymuje brzmienie:</w:t>
      </w:r>
    </w:p>
    <w:p w14:paraId="46ECD7A1" w14:textId="77777777" w:rsidR="00FB1FB2" w:rsidRPr="001C532B" w:rsidRDefault="00FB1FB2" w:rsidP="00D45988">
      <w:pPr>
        <w:pStyle w:val="ZTIRLITzmlittiret"/>
      </w:pPr>
      <w:r w:rsidRPr="001C532B">
        <w:t>„a)</w:t>
      </w:r>
      <w:r w:rsidR="00C16B34">
        <w:tab/>
      </w:r>
      <w:r w:rsidRPr="001C532B">
        <w:t>które nie zostały przez niego lub na jego rzecz wytworzone, przez niego finansowane, albo przez niego nabyte, albo”,</w:t>
      </w:r>
    </w:p>
    <w:p w14:paraId="07190A04" w14:textId="77777777" w:rsidR="00B72E0C" w:rsidRPr="001C532B" w:rsidRDefault="00FB1FB2" w:rsidP="00DE3430">
      <w:pPr>
        <w:pStyle w:val="TIRtiret"/>
      </w:pPr>
      <w:r w:rsidRPr="001C532B">
        <w:t>–</w:t>
      </w:r>
      <w:r w:rsidRPr="001C532B">
        <w:tab/>
      </w:r>
      <w:r w:rsidR="0067346B" w:rsidRPr="001C532B">
        <w:t xml:space="preserve">w pkt 8 kropkę zastępuje się średnikiem i </w:t>
      </w:r>
      <w:r w:rsidR="00B72E0C" w:rsidRPr="001C532B">
        <w:t>dodaje się pkt 9 i 10 w brzmieniu:</w:t>
      </w:r>
    </w:p>
    <w:p w14:paraId="66A1FCB7" w14:textId="77777777" w:rsidR="00B72E0C" w:rsidRPr="001C532B" w:rsidRDefault="00283538" w:rsidP="00D45988">
      <w:pPr>
        <w:pStyle w:val="ZTIRPKTzmpkttiret"/>
      </w:pPr>
      <w:r w:rsidRPr="001C532B">
        <w:t>„</w:t>
      </w:r>
      <w:r w:rsidR="00B72E0C" w:rsidRPr="001C532B">
        <w:t>9)</w:t>
      </w:r>
      <w:r w:rsidR="00C16B34">
        <w:tab/>
      </w:r>
      <w:r w:rsidR="00B72E0C" w:rsidRPr="001C532B">
        <w:t>gier komputerowych;</w:t>
      </w:r>
    </w:p>
    <w:p w14:paraId="6F68DA56" w14:textId="77777777" w:rsidR="00F26EE8" w:rsidRPr="001C532B" w:rsidRDefault="00B72E0C" w:rsidP="00D45988">
      <w:pPr>
        <w:pStyle w:val="ZTIRPKTzmpkttiret"/>
      </w:pPr>
      <w:r w:rsidRPr="001C532B">
        <w:t>10)</w:t>
      </w:r>
      <w:r w:rsidR="00C16B34">
        <w:tab/>
      </w:r>
      <w:r w:rsidR="009D4733" w:rsidRPr="001C532B">
        <w:t>złożonych schematów i dokumentacji technicznych w formie nietekstowej</w:t>
      </w:r>
      <w:r w:rsidR="00D644EC" w:rsidRPr="001C532B">
        <w:t>.</w:t>
      </w:r>
      <w:r w:rsidR="00283538" w:rsidRPr="001C532B">
        <w:t>”</w:t>
      </w:r>
      <w:r w:rsidR="0067346B" w:rsidRPr="001C532B">
        <w:t>,</w:t>
      </w:r>
    </w:p>
    <w:p w14:paraId="248CF7A0" w14:textId="77777777" w:rsidR="00757435" w:rsidRPr="001C532B" w:rsidRDefault="00FB1FB2" w:rsidP="00C16B34">
      <w:pPr>
        <w:pStyle w:val="LITlitera"/>
      </w:pPr>
      <w:r w:rsidRPr="001C532B">
        <w:rPr>
          <w:rFonts w:ascii="Times New Roman" w:hAnsi="Times New Roman" w:cs="Times New Roman"/>
        </w:rPr>
        <w:t>b</w:t>
      </w:r>
      <w:r w:rsidRPr="001C532B">
        <w:t>)</w:t>
      </w:r>
      <w:r w:rsidRPr="001C532B">
        <w:tab/>
      </w:r>
      <w:r w:rsidR="00AA308F" w:rsidRPr="001C532B">
        <w:t xml:space="preserve">dodaje się </w:t>
      </w:r>
      <w:r w:rsidR="00AA308F" w:rsidRPr="00C16B34">
        <w:t>ust</w:t>
      </w:r>
      <w:r w:rsidR="00861E6C" w:rsidRPr="001C532B">
        <w:t>.</w:t>
      </w:r>
      <w:r w:rsidR="00757435" w:rsidRPr="001C532B">
        <w:t xml:space="preserve"> 3 w brzmieniu</w:t>
      </w:r>
      <w:r w:rsidR="00AA308F" w:rsidRPr="001C532B">
        <w:t>:</w:t>
      </w:r>
    </w:p>
    <w:p w14:paraId="4F047BA2" w14:textId="77777777" w:rsidR="00AA308F" w:rsidRPr="001C532B" w:rsidRDefault="00283538" w:rsidP="00DE3430">
      <w:pPr>
        <w:pStyle w:val="ZLITUSTzmustliter"/>
        <w:rPr>
          <w:rFonts w:ascii="Times New Roman" w:hAnsi="Times New Roman" w:cs="Times New Roman"/>
        </w:rPr>
      </w:pPr>
      <w:r w:rsidRPr="001C532B">
        <w:rPr>
          <w:rFonts w:ascii="Times New Roman" w:hAnsi="Times New Roman" w:cs="Times New Roman"/>
        </w:rPr>
        <w:t>„</w:t>
      </w:r>
      <w:r w:rsidR="00757435" w:rsidRPr="00DE3430">
        <w:rPr>
          <w:rFonts w:ascii="Times New Roman" w:hAnsi="Times New Roman" w:cs="Times New Roman"/>
        </w:rPr>
        <w:t xml:space="preserve">3. </w:t>
      </w:r>
      <w:r w:rsidR="00AA308F" w:rsidRPr="00DE3430">
        <w:rPr>
          <w:rFonts w:ascii="Times New Roman" w:hAnsi="Times New Roman" w:cs="Times New Roman"/>
        </w:rPr>
        <w:t>Ustawy nie stosuje się do stron internetowych i aplikacji mobilnych zawierających jedynie elementy, o których mowa w ust. 2 pkt 8.</w:t>
      </w:r>
      <w:r w:rsidR="008158CD" w:rsidRPr="00DE3430">
        <w:rPr>
          <w:rFonts w:ascii="Times New Roman" w:hAnsi="Times New Roman" w:cs="Times New Roman"/>
        </w:rPr>
        <w:t>”;</w:t>
      </w:r>
    </w:p>
    <w:p w14:paraId="7A07CCC4" w14:textId="77777777" w:rsidR="007804CF" w:rsidRPr="005A1297" w:rsidRDefault="00D41FB0" w:rsidP="00C16B34">
      <w:pPr>
        <w:pStyle w:val="PKTpunkt"/>
      </w:pPr>
      <w:r>
        <w:t xml:space="preserve"> </w:t>
      </w:r>
      <w:r w:rsidR="00217151">
        <w:t>2</w:t>
      </w:r>
      <w:r w:rsidR="00DA7EF8" w:rsidRPr="005A1297">
        <w:t>)</w:t>
      </w:r>
      <w:r w:rsidR="00C16B34">
        <w:tab/>
      </w:r>
      <w:r w:rsidR="00DA7EF8" w:rsidRPr="005A1297">
        <w:t>w art. 5</w:t>
      </w:r>
      <w:r w:rsidR="00343874">
        <w:t>:</w:t>
      </w:r>
      <w:r w:rsidR="00DA7EF8" w:rsidRPr="005A1297">
        <w:t xml:space="preserve"> </w:t>
      </w:r>
    </w:p>
    <w:p w14:paraId="18477005" w14:textId="77777777" w:rsidR="00DA7EF8" w:rsidRDefault="007804CF" w:rsidP="00D038E8">
      <w:pPr>
        <w:pStyle w:val="LITlitera"/>
      </w:pPr>
      <w:r>
        <w:t>a)</w:t>
      </w:r>
      <w:r w:rsidR="00C16B34">
        <w:tab/>
      </w:r>
      <w:r w:rsidR="00DA7EF8">
        <w:t>ust</w:t>
      </w:r>
      <w:r w:rsidR="00343874">
        <w:t>.</w:t>
      </w:r>
      <w:r>
        <w:t xml:space="preserve"> </w:t>
      </w:r>
      <w:r w:rsidR="00DA7EF8">
        <w:t xml:space="preserve">1 </w:t>
      </w:r>
      <w:r w:rsidR="00D038E8">
        <w:t>otrzymuje brzmienie</w:t>
      </w:r>
      <w:r w:rsidR="00DA7EF8">
        <w:t>:</w:t>
      </w:r>
    </w:p>
    <w:p w14:paraId="07A12A30" w14:textId="49BB1F06" w:rsidR="003E667B" w:rsidRDefault="00DA7EF8" w:rsidP="00D45988">
      <w:pPr>
        <w:pStyle w:val="ZLITwPKTzmlitwpktartykuempunktem"/>
      </w:pPr>
      <w:r>
        <w:t>„</w:t>
      </w:r>
      <w:r w:rsidRPr="00DA7EF8">
        <w:t>1. Podmiot publiczn</w:t>
      </w:r>
      <w:r w:rsidR="00FB1700">
        <w:t>y</w:t>
      </w:r>
      <w:r w:rsidRPr="00DA7EF8">
        <w:t xml:space="preserve"> zapewnia</w:t>
      </w:r>
      <w:r w:rsidR="005832A2">
        <w:t xml:space="preserve"> </w:t>
      </w:r>
      <w:r w:rsidRPr="00DA7EF8">
        <w:t>dostępność cyfrową przez spełnienie przez</w:t>
      </w:r>
      <w:r w:rsidR="00D744DD">
        <w:t xml:space="preserve"> jego</w:t>
      </w:r>
      <w:r w:rsidR="003A769E">
        <w:t>:</w:t>
      </w:r>
      <w:r w:rsidRPr="00DA7EF8">
        <w:t xml:space="preserve"> </w:t>
      </w:r>
    </w:p>
    <w:p w14:paraId="4CDC3A05" w14:textId="069CAB19" w:rsidR="00EC6D42" w:rsidRPr="00D45988" w:rsidRDefault="00EC6D42" w:rsidP="00D45988">
      <w:pPr>
        <w:pStyle w:val="ZLITPKTzmpktliter"/>
      </w:pPr>
      <w:r w:rsidRPr="00D45988">
        <w:t>1)</w:t>
      </w:r>
      <w:r w:rsidRPr="00D45988">
        <w:tab/>
      </w:r>
      <w:r w:rsidR="00DA7EF8" w:rsidRPr="00D45988">
        <w:t xml:space="preserve">stronę internetową </w:t>
      </w:r>
      <w:r w:rsidR="003E667B" w:rsidRPr="00D45988">
        <w:t xml:space="preserve">oraz </w:t>
      </w:r>
      <w:r w:rsidR="000B7221" w:rsidRPr="00D45988">
        <w:t xml:space="preserve">zarządzane elementy stron internetowych </w:t>
      </w:r>
      <w:r w:rsidR="003E667B" w:rsidRPr="00D45988">
        <w:t>wymagań określonych w załączniku do ustawy;</w:t>
      </w:r>
    </w:p>
    <w:p w14:paraId="37AAAFB4" w14:textId="452BAE6F" w:rsidR="00F15FC9" w:rsidRDefault="00EC6D42" w:rsidP="00D45988">
      <w:pPr>
        <w:pStyle w:val="ZLITPKTzmpktliter"/>
      </w:pPr>
      <w:r>
        <w:t>2)</w:t>
      </w:r>
      <w:r>
        <w:tab/>
      </w:r>
      <w:bookmarkStart w:id="1" w:name="_Hlk77857516"/>
      <w:r w:rsidR="00423B7C" w:rsidRPr="00EC6D42">
        <w:t xml:space="preserve">aplikację mobilną oraz </w:t>
      </w:r>
      <w:r w:rsidR="000B7221" w:rsidRPr="000B7221">
        <w:t xml:space="preserve">zarządzane elementy </w:t>
      </w:r>
      <w:r w:rsidR="00423B7C" w:rsidRPr="00EC6D42">
        <w:t>aplikacj</w:t>
      </w:r>
      <w:r w:rsidR="00331FFC">
        <w:t>i</w:t>
      </w:r>
      <w:r w:rsidR="00423B7C" w:rsidRPr="00EC6D42">
        <w:t xml:space="preserve"> mobilnych wymagań określonych w załączniku do ustawy, z wyjątkiem kryteriów sukcesu:</w:t>
      </w:r>
    </w:p>
    <w:p w14:paraId="2A2356B9" w14:textId="77777777" w:rsidR="0045457D" w:rsidRDefault="00C16B34" w:rsidP="00D45988">
      <w:pPr>
        <w:pStyle w:val="ZLITLITwPKTzmlitwpktliter"/>
      </w:pPr>
      <w:bookmarkStart w:id="2" w:name="_Hlk86069703"/>
      <w:r>
        <w:t>a)</w:t>
      </w:r>
      <w:r>
        <w:tab/>
      </w:r>
      <w:r w:rsidR="00D96D6A">
        <w:t xml:space="preserve">2.4.1 </w:t>
      </w:r>
      <w:r w:rsidR="0045457D" w:rsidRPr="00570C83">
        <w:t>– Możliwość pominięcia bloków</w:t>
      </w:r>
      <w:r w:rsidR="0045457D" w:rsidRPr="0045457D">
        <w:t xml:space="preserve">, </w:t>
      </w:r>
    </w:p>
    <w:p w14:paraId="28C2B1E1" w14:textId="77777777" w:rsidR="0045457D" w:rsidRDefault="00C16B34" w:rsidP="00D45988">
      <w:pPr>
        <w:pStyle w:val="ZLITLITwPKTzmlitwpktliter"/>
      </w:pPr>
      <w:r>
        <w:t>b)</w:t>
      </w:r>
      <w:r>
        <w:tab/>
      </w:r>
      <w:r w:rsidR="00D96D6A">
        <w:t xml:space="preserve">2.4.2 </w:t>
      </w:r>
      <w:r w:rsidR="0045457D" w:rsidRPr="00570C83">
        <w:t>– Tytuł stron</w:t>
      </w:r>
      <w:r w:rsidR="0045457D">
        <w:t>y</w:t>
      </w:r>
      <w:r>
        <w:t>,</w:t>
      </w:r>
    </w:p>
    <w:p w14:paraId="502EC0D5" w14:textId="77777777" w:rsidR="00AB6EDB" w:rsidRDefault="00AB6EDB" w:rsidP="00D45988">
      <w:pPr>
        <w:pStyle w:val="ZLITLITwPKTzmlitwpktliter"/>
      </w:pPr>
      <w:r>
        <w:lastRenderedPageBreak/>
        <w:t>c)</w:t>
      </w:r>
      <w:r>
        <w:tab/>
      </w:r>
      <w:r w:rsidR="00D96D6A">
        <w:t xml:space="preserve">2.4.5 </w:t>
      </w:r>
      <w:r w:rsidR="0045457D" w:rsidRPr="00570C83">
        <w:t xml:space="preserve">– Wiele </w:t>
      </w:r>
      <w:r w:rsidR="0045457D">
        <w:t>dróg</w:t>
      </w:r>
      <w:r w:rsidR="00C16B34">
        <w:t>,</w:t>
      </w:r>
    </w:p>
    <w:p w14:paraId="2CA878C8" w14:textId="77777777" w:rsidR="0045457D" w:rsidRDefault="00C16B34" w:rsidP="00D45988">
      <w:pPr>
        <w:pStyle w:val="ZLITLITwPKTzmlitwpktliter"/>
      </w:pPr>
      <w:r>
        <w:t>d)</w:t>
      </w:r>
      <w:r>
        <w:tab/>
      </w:r>
      <w:r w:rsidR="00D96D6A">
        <w:t xml:space="preserve">3.1.2 </w:t>
      </w:r>
      <w:r w:rsidR="0045457D" w:rsidRPr="00570C83">
        <w:t>– Język części</w:t>
      </w:r>
      <w:r>
        <w:t>,</w:t>
      </w:r>
    </w:p>
    <w:p w14:paraId="562E5C7C" w14:textId="77777777" w:rsidR="0045457D" w:rsidRDefault="00C16B34" w:rsidP="00D45988">
      <w:pPr>
        <w:pStyle w:val="ZLITLITwPKTzmlitwpktliter"/>
      </w:pPr>
      <w:r>
        <w:t>e)</w:t>
      </w:r>
      <w:r>
        <w:tab/>
      </w:r>
      <w:r w:rsidR="00D96D6A">
        <w:t xml:space="preserve">3.2.3 </w:t>
      </w:r>
      <w:r w:rsidR="0045457D" w:rsidRPr="00570C83">
        <w:t xml:space="preserve">– </w:t>
      </w:r>
      <w:r w:rsidR="0045457D">
        <w:t>Spójn</w:t>
      </w:r>
      <w:r w:rsidR="0045457D" w:rsidRPr="00570C83">
        <w:t>a nawigacja</w:t>
      </w:r>
      <w:r>
        <w:t>,</w:t>
      </w:r>
    </w:p>
    <w:p w14:paraId="4B9ED3FE" w14:textId="77777777" w:rsidR="0045457D" w:rsidRDefault="00C16B34" w:rsidP="00D45988">
      <w:pPr>
        <w:pStyle w:val="ZLITLITwPKTzmlitwpktliter"/>
      </w:pPr>
      <w:r>
        <w:t>f)</w:t>
      </w:r>
      <w:r>
        <w:tab/>
      </w:r>
      <w:r w:rsidR="00D96D6A">
        <w:t xml:space="preserve">3.2.4 </w:t>
      </w:r>
      <w:r w:rsidR="0045457D" w:rsidRPr="00570C83">
        <w:t xml:space="preserve">– </w:t>
      </w:r>
      <w:r w:rsidR="0045457D">
        <w:t>Spójna</w:t>
      </w:r>
      <w:r w:rsidR="0045457D" w:rsidRPr="00570C83">
        <w:t xml:space="preserve"> identyfikacja</w:t>
      </w:r>
      <w:r>
        <w:t>,</w:t>
      </w:r>
    </w:p>
    <w:p w14:paraId="27379409" w14:textId="77777777" w:rsidR="0045457D" w:rsidRDefault="00C16B34" w:rsidP="00D45988">
      <w:pPr>
        <w:pStyle w:val="ZLITLITwPKTzmlitwpktliter"/>
      </w:pPr>
      <w:r>
        <w:t>g)</w:t>
      </w:r>
      <w:r>
        <w:tab/>
      </w:r>
      <w:r w:rsidR="0045457D" w:rsidRPr="00570C83">
        <w:t>4.1.3 – Komunikaty o stanie</w:t>
      </w:r>
      <w:r w:rsidR="0045457D">
        <w:t>.”</w:t>
      </w:r>
      <w:r w:rsidR="00B309C0">
        <w:t>,</w:t>
      </w:r>
    </w:p>
    <w:bookmarkEnd w:id="1"/>
    <w:bookmarkEnd w:id="2"/>
    <w:p w14:paraId="1A36F22A" w14:textId="77777777" w:rsidR="00B10190" w:rsidRDefault="00B10190" w:rsidP="00C16B34">
      <w:pPr>
        <w:pStyle w:val="LITlitera"/>
      </w:pPr>
      <w:r>
        <w:t>b)</w:t>
      </w:r>
      <w:r w:rsidR="00C16B34">
        <w:tab/>
      </w:r>
      <w:r w:rsidR="0041050B">
        <w:t xml:space="preserve">po ust. 1 </w:t>
      </w:r>
      <w:r>
        <w:t>dodaje się ust</w:t>
      </w:r>
      <w:r w:rsidR="00343874">
        <w:t>.</w:t>
      </w:r>
      <w:r>
        <w:t xml:space="preserve"> 1a </w:t>
      </w:r>
      <w:r w:rsidR="0041050B">
        <w:t xml:space="preserve">i 1b </w:t>
      </w:r>
      <w:r w:rsidR="00EC6D42">
        <w:t xml:space="preserve">w </w:t>
      </w:r>
      <w:r>
        <w:t>brzmieniu:</w:t>
      </w:r>
    </w:p>
    <w:p w14:paraId="48F50761" w14:textId="122694D7" w:rsidR="00B10190" w:rsidRDefault="007A1046" w:rsidP="00D45988">
      <w:pPr>
        <w:pStyle w:val="ZLITUSTzmustliter"/>
      </w:pPr>
      <w:r w:rsidRPr="007A1046">
        <w:t>„1</w:t>
      </w:r>
      <w:r>
        <w:t>a</w:t>
      </w:r>
      <w:r w:rsidRPr="007A1046">
        <w:t xml:space="preserve">. </w:t>
      </w:r>
      <w:r w:rsidR="005C34CF">
        <w:t>P</w:t>
      </w:r>
      <w:r w:rsidRPr="007A1046">
        <w:t>odmiot publiczn</w:t>
      </w:r>
      <w:r w:rsidR="008B25EC">
        <w:t>y</w:t>
      </w:r>
      <w:r w:rsidR="002470A5">
        <w:t>,</w:t>
      </w:r>
      <w:r w:rsidRPr="007A1046">
        <w:t xml:space="preserve"> </w:t>
      </w:r>
      <w:r w:rsidR="002470A5">
        <w:t xml:space="preserve">jeżeli jest to możliwe, </w:t>
      </w:r>
      <w:r w:rsidRPr="007A1046">
        <w:t xml:space="preserve">zapewnia dostępność cyfrową </w:t>
      </w:r>
      <w:r>
        <w:t xml:space="preserve">aplikacji internetowej </w:t>
      </w:r>
      <w:r w:rsidRPr="007A1046">
        <w:t xml:space="preserve">przez spełnienie przez </w:t>
      </w:r>
      <w:r>
        <w:t>nią</w:t>
      </w:r>
      <w:r w:rsidRPr="007A1046">
        <w:t xml:space="preserve"> wymagań określonych w załączniku do ustawy</w:t>
      </w:r>
      <w:r w:rsidR="0041050B">
        <w:t>.</w:t>
      </w:r>
      <w:r w:rsidR="00BC7BA8">
        <w:t xml:space="preserve"> </w:t>
      </w:r>
      <w:r w:rsidR="00217151">
        <w:t>Przez aplikację</w:t>
      </w:r>
      <w:r w:rsidR="00217151" w:rsidRPr="00217151">
        <w:t xml:space="preserve"> internetow</w:t>
      </w:r>
      <w:r w:rsidR="00217151">
        <w:t>ą rozumie się stronę internetową</w:t>
      </w:r>
      <w:r w:rsidR="00217151" w:rsidRPr="00217151">
        <w:t xml:space="preserve"> lub element strony internetowej służące do interakcji ze zidentyfikowanym użytkownikiem, za pośrednictwem dedykowanego oprogramowania, w celu prezentowania informacji będących wynikiem działania tego użytkownika</w:t>
      </w:r>
      <w:r w:rsidR="00B42F07">
        <w:t>.</w:t>
      </w:r>
    </w:p>
    <w:p w14:paraId="7B28F112" w14:textId="6D28AAA2" w:rsidR="00E66AAC" w:rsidRDefault="00FD59DE" w:rsidP="00D45988">
      <w:pPr>
        <w:pStyle w:val="ZLITUSTzmustliter"/>
      </w:pPr>
      <w:r w:rsidRPr="00DE3430">
        <w:t xml:space="preserve">1b. </w:t>
      </w:r>
      <w:r w:rsidR="008C5682" w:rsidRPr="00DE3430">
        <w:t>W przypadku</w:t>
      </w:r>
      <w:r w:rsidR="00B42F07">
        <w:t>,</w:t>
      </w:r>
      <w:r w:rsidR="008C5682" w:rsidRPr="00DE3430">
        <w:t xml:space="preserve"> gdy </w:t>
      </w:r>
      <w:r w:rsidRPr="00DE3430">
        <w:t xml:space="preserve">podmiot publiczny publikuje na stronie internetowej lub </w:t>
      </w:r>
      <w:r w:rsidR="00C16B34">
        <w:br/>
      </w:r>
      <w:r w:rsidRPr="00DE3430">
        <w:t>w aplikacji mobilnej zarejestrowane wcześniej multimedia nadawane na żywo, zobowiązany jest do dostosowania ich do wymagań</w:t>
      </w:r>
      <w:r w:rsidR="008C5682" w:rsidRPr="00DE3430">
        <w:t>,</w:t>
      </w:r>
      <w:r w:rsidRPr="00DE3430">
        <w:t xml:space="preserve"> </w:t>
      </w:r>
      <w:r w:rsidR="008C5682" w:rsidRPr="00DE3430">
        <w:t xml:space="preserve">o których </w:t>
      </w:r>
      <w:r w:rsidR="007E4590">
        <w:t xml:space="preserve">mowa </w:t>
      </w:r>
      <w:r w:rsidRPr="00DE3430">
        <w:t>w ust. 1</w:t>
      </w:r>
      <w:r w:rsidR="008C5682" w:rsidRPr="00DE3430">
        <w:t>,</w:t>
      </w:r>
      <w:r w:rsidRPr="00DE3430">
        <w:t xml:space="preserve"> w terminie nie dłuższym niż 14 dni roboczych od momentu zakończenia nadawania.</w:t>
      </w:r>
      <w:r>
        <w:t>”</w:t>
      </w:r>
      <w:r w:rsidR="00E66AAC">
        <w:t>,</w:t>
      </w:r>
    </w:p>
    <w:p w14:paraId="6CB541C3" w14:textId="7F2E858B" w:rsidR="00E66AAC" w:rsidRDefault="00E66AAC" w:rsidP="00C16B34">
      <w:pPr>
        <w:pStyle w:val="LITlitera"/>
      </w:pPr>
      <w:r>
        <w:t>c)</w:t>
      </w:r>
      <w:r w:rsidR="00C16B34">
        <w:tab/>
      </w:r>
      <w:r w:rsidRPr="00E66AAC">
        <w:t xml:space="preserve">ust. 3 </w:t>
      </w:r>
      <w:r w:rsidR="00B42F07">
        <w:t>otrzymuje</w:t>
      </w:r>
      <w:r w:rsidR="00B42F07" w:rsidRPr="00E66AAC">
        <w:t xml:space="preserve"> </w:t>
      </w:r>
      <w:r w:rsidRPr="00E66AAC">
        <w:t xml:space="preserve">brzmienie: </w:t>
      </w:r>
    </w:p>
    <w:p w14:paraId="00A8CA5C" w14:textId="77777777" w:rsidR="00FD59DE" w:rsidRDefault="00E66AAC" w:rsidP="00D45988">
      <w:pPr>
        <w:pStyle w:val="ZLITUSTzmustliter"/>
      </w:pPr>
      <w:r w:rsidRPr="00263A28">
        <w:t>„3. Wymagania określone w załączniku do ustawy uznaje się za spełnione, gdy podmiot publiczny zapewnia dostępność cyfrową z uwzględnieniem wymagań określonych w pkt 9, 10 i 11 normy EN 301</w:t>
      </w:r>
      <w:r w:rsidR="009A74F9">
        <w:t> </w:t>
      </w:r>
      <w:r w:rsidRPr="00263A28">
        <w:t>549</w:t>
      </w:r>
      <w:r w:rsidR="009A74F9">
        <w:t xml:space="preserve"> V3</w:t>
      </w:r>
      <w:r w:rsidR="009A74F9" w:rsidRPr="009A74F9">
        <w:t>.</w:t>
      </w:r>
      <w:r w:rsidR="009A74F9">
        <w:t>2.1</w:t>
      </w:r>
      <w:r w:rsidR="001C2B60" w:rsidRPr="001C2B60">
        <w:t xml:space="preserve">, </w:t>
      </w:r>
      <w:r w:rsidR="001C2B60" w:rsidRPr="009A74F9">
        <w:t xml:space="preserve">a w przypadku wydania nowszej wersji tej normy zgodnie z tą </w:t>
      </w:r>
      <w:r w:rsidR="009A74F9" w:rsidRPr="009A74F9">
        <w:t>wersją</w:t>
      </w:r>
      <w:r w:rsidR="001C2B60" w:rsidRPr="009A74F9">
        <w:t>.</w:t>
      </w:r>
      <w:r w:rsidRPr="009A74F9">
        <w:t>”;</w:t>
      </w:r>
    </w:p>
    <w:p w14:paraId="6667C9EA" w14:textId="77777777" w:rsidR="0052705B" w:rsidRPr="001C532B" w:rsidRDefault="00FD59DE" w:rsidP="00C16B34">
      <w:pPr>
        <w:pStyle w:val="PKTpunkt"/>
      </w:pPr>
      <w:r>
        <w:t>3</w:t>
      </w:r>
      <w:r w:rsidR="00AA308F" w:rsidRPr="001C532B">
        <w:t>)</w:t>
      </w:r>
      <w:r w:rsidR="00C16B34">
        <w:tab/>
      </w:r>
      <w:r w:rsidR="003C0DCC" w:rsidRPr="001C532B">
        <w:t>w</w:t>
      </w:r>
      <w:r w:rsidR="00AA308F" w:rsidRPr="001C532B">
        <w:t xml:space="preserve"> art. 8</w:t>
      </w:r>
      <w:r w:rsidR="008158CD" w:rsidRPr="001C532B">
        <w:t xml:space="preserve"> w ust. 2</w:t>
      </w:r>
      <w:r w:rsidR="0052705B" w:rsidRPr="001C532B">
        <w:t>:</w:t>
      </w:r>
    </w:p>
    <w:p w14:paraId="36BA1371" w14:textId="77777777" w:rsidR="003C0DCC" w:rsidRPr="001C532B" w:rsidRDefault="0052705B" w:rsidP="00C16B34">
      <w:pPr>
        <w:pStyle w:val="LITlitera"/>
      </w:pPr>
      <w:r w:rsidRPr="001C532B">
        <w:rPr>
          <w:rFonts w:ascii="Times New Roman" w:hAnsi="Times New Roman"/>
          <w:bCs w:val="0"/>
        </w:rPr>
        <w:t>a)</w:t>
      </w:r>
      <w:r w:rsidR="00C16B34">
        <w:rPr>
          <w:rFonts w:ascii="Times New Roman" w:hAnsi="Times New Roman"/>
          <w:bCs w:val="0"/>
        </w:rPr>
        <w:tab/>
      </w:r>
      <w:r w:rsidR="003C0DCC" w:rsidRPr="00C16B34">
        <w:t>wprowadzenie</w:t>
      </w:r>
      <w:r w:rsidR="003C0DCC" w:rsidRPr="001C532B">
        <w:t xml:space="preserve"> do wyliczenia otrzymuje brzmienie</w:t>
      </w:r>
      <w:r w:rsidR="00AA308F" w:rsidRPr="001C532B">
        <w:t>:</w:t>
      </w:r>
    </w:p>
    <w:p w14:paraId="1B88978A" w14:textId="77777777" w:rsidR="00AA308F" w:rsidRPr="001C532B" w:rsidRDefault="005C34CF" w:rsidP="00DE3430">
      <w:pPr>
        <w:pStyle w:val="ZUSTzmustartykuempunktem"/>
        <w:rPr>
          <w:rFonts w:ascii="Times New Roman" w:hAnsi="Times New Roman" w:cs="Times New Roman"/>
        </w:rPr>
      </w:pPr>
      <w:r>
        <w:rPr>
          <w:rFonts w:ascii="Times New Roman" w:hAnsi="Times New Roman" w:cs="Times New Roman"/>
        </w:rPr>
        <w:t>„</w:t>
      </w:r>
      <w:r w:rsidR="002470A5">
        <w:rPr>
          <w:rFonts w:ascii="Times New Roman" w:hAnsi="Times New Roman" w:cs="Times New Roman"/>
        </w:rPr>
        <w:t>Przepisu ust. 1 nie stosuje się do:</w:t>
      </w:r>
      <w:r>
        <w:rPr>
          <w:rFonts w:ascii="Times New Roman" w:hAnsi="Times New Roman" w:cs="Times New Roman"/>
        </w:rPr>
        <w:t>”,</w:t>
      </w:r>
    </w:p>
    <w:p w14:paraId="622A5987" w14:textId="77777777" w:rsidR="0052705B" w:rsidRPr="001C532B" w:rsidRDefault="0052705B" w:rsidP="00C16B34">
      <w:pPr>
        <w:pStyle w:val="LITlitera"/>
      </w:pPr>
      <w:r w:rsidRPr="001C532B">
        <w:t>b)</w:t>
      </w:r>
      <w:r w:rsidR="00C16B34">
        <w:tab/>
      </w:r>
      <w:r w:rsidRPr="001C532B">
        <w:t xml:space="preserve">pkt 2 </w:t>
      </w:r>
      <w:r w:rsidRPr="00C16B34">
        <w:t>otrzymuje</w:t>
      </w:r>
      <w:r w:rsidRPr="001C532B">
        <w:t xml:space="preserve"> brzmienie:</w:t>
      </w:r>
    </w:p>
    <w:p w14:paraId="0DB98C6D" w14:textId="77777777" w:rsidR="0052705B" w:rsidRPr="00787887" w:rsidRDefault="0052705B">
      <w:pPr>
        <w:pStyle w:val="ZUSTzmustartykuempunktem"/>
        <w:rPr>
          <w:rFonts w:ascii="Times New Roman" w:hAnsi="Times New Roman"/>
        </w:rPr>
      </w:pPr>
      <w:r w:rsidRPr="00787887">
        <w:t>„2)</w:t>
      </w:r>
      <w:r w:rsidR="00C16B34">
        <w:tab/>
      </w:r>
      <w:r w:rsidRPr="00787887">
        <w:t>następujących elementów i funkcji strony internetowej:”;</w:t>
      </w:r>
    </w:p>
    <w:p w14:paraId="224CF928" w14:textId="77777777" w:rsidR="003C0DCC" w:rsidRPr="00C16B34" w:rsidRDefault="00FD59DE" w:rsidP="00C16B34">
      <w:pPr>
        <w:pStyle w:val="PKTpunkt"/>
      </w:pPr>
      <w:r>
        <w:t>4</w:t>
      </w:r>
      <w:r w:rsidR="00AA308F" w:rsidRPr="001C532B">
        <w:t>)</w:t>
      </w:r>
      <w:r w:rsidR="00C16B34">
        <w:tab/>
      </w:r>
      <w:r w:rsidR="00AA308F" w:rsidRPr="001C532B">
        <w:t>w art. 10</w:t>
      </w:r>
      <w:r w:rsidR="003C0DCC" w:rsidRPr="001C532B">
        <w:t>:</w:t>
      </w:r>
    </w:p>
    <w:p w14:paraId="7DFF38E9" w14:textId="77777777" w:rsidR="00CD4FD8" w:rsidRPr="001C532B" w:rsidRDefault="00CD4FD8" w:rsidP="00C16B34">
      <w:pPr>
        <w:pStyle w:val="LITlitera"/>
      </w:pPr>
      <w:r w:rsidRPr="001C532B">
        <w:t>a)</w:t>
      </w:r>
      <w:r w:rsidR="00C16B34">
        <w:tab/>
      </w:r>
      <w:r w:rsidR="00AA308F" w:rsidRPr="001C532B">
        <w:t xml:space="preserve">ust. 1 </w:t>
      </w:r>
      <w:r w:rsidR="00C5302A" w:rsidRPr="001C532B">
        <w:t xml:space="preserve">otrzymuje </w:t>
      </w:r>
      <w:r w:rsidR="00C5302A" w:rsidRPr="00C16B34">
        <w:t>brzmienie</w:t>
      </w:r>
      <w:r w:rsidR="00C5302A" w:rsidRPr="001C532B">
        <w:t xml:space="preserve">: </w:t>
      </w:r>
    </w:p>
    <w:p w14:paraId="43374A7D" w14:textId="77777777" w:rsidR="00AA308F" w:rsidRPr="00125B5A" w:rsidRDefault="00CD4FD8" w:rsidP="00D45988">
      <w:pPr>
        <w:pStyle w:val="ZLITUSTzmustliter"/>
      </w:pPr>
      <w:r w:rsidRPr="00216128">
        <w:t>„</w:t>
      </w:r>
      <w:r w:rsidR="00D96D6A">
        <w:t xml:space="preserve">1. </w:t>
      </w:r>
      <w:r w:rsidR="00C5302A" w:rsidRPr="00216128">
        <w:t>Podmiot publiczn</w:t>
      </w:r>
      <w:r w:rsidR="00D800E0" w:rsidRPr="00216128">
        <w:t>y</w:t>
      </w:r>
      <w:r w:rsidR="00C5302A" w:rsidRPr="00125B5A">
        <w:t xml:space="preserve"> sporządza deklarację dostępności w sposób dostępny cyfrowo, </w:t>
      </w:r>
      <w:r w:rsidR="00AA308F" w:rsidRPr="00125B5A">
        <w:t xml:space="preserve">w </w:t>
      </w:r>
      <w:r w:rsidR="00B26074" w:rsidRPr="00125B5A">
        <w:t xml:space="preserve">wersji </w:t>
      </w:r>
      <w:r w:rsidR="00AA308F" w:rsidRPr="00125B5A">
        <w:t>język</w:t>
      </w:r>
      <w:r w:rsidR="00B26074" w:rsidRPr="00125B5A">
        <w:t>owej</w:t>
      </w:r>
      <w:r w:rsidR="00AA308F" w:rsidRPr="00125B5A">
        <w:t xml:space="preserve"> </w:t>
      </w:r>
      <w:r w:rsidR="00B26074" w:rsidRPr="00125B5A">
        <w:t>stosowanej</w:t>
      </w:r>
      <w:r w:rsidR="00F6756D" w:rsidRPr="00125B5A">
        <w:t xml:space="preserve"> na</w:t>
      </w:r>
      <w:r w:rsidR="00AA308F" w:rsidRPr="00125B5A">
        <w:t xml:space="preserve"> stron</w:t>
      </w:r>
      <w:r w:rsidR="00F6756D" w:rsidRPr="00125B5A">
        <w:t>ie</w:t>
      </w:r>
      <w:r w:rsidR="009A0A90" w:rsidRPr="00125B5A">
        <w:t xml:space="preserve"> internetowej lub aplikacji mobilnej</w:t>
      </w:r>
      <w:r w:rsidR="00AA308F" w:rsidRPr="00125B5A">
        <w:t>, do której się odnos</w:t>
      </w:r>
      <w:r w:rsidR="00D96D22" w:rsidRPr="00125B5A">
        <w:t>i</w:t>
      </w:r>
      <w:r w:rsidR="00B96B43" w:rsidRPr="00125B5A">
        <w:t>.</w:t>
      </w:r>
      <w:r w:rsidR="00283538" w:rsidRPr="00125B5A">
        <w:t>”</w:t>
      </w:r>
      <w:r w:rsidR="00B96B43" w:rsidRPr="00125B5A">
        <w:t>,</w:t>
      </w:r>
    </w:p>
    <w:p w14:paraId="3B318363" w14:textId="77777777" w:rsidR="00852103" w:rsidRPr="001C532B" w:rsidRDefault="00CD4FD8" w:rsidP="00C16B34">
      <w:pPr>
        <w:pStyle w:val="LITlitera"/>
      </w:pPr>
      <w:r w:rsidRPr="001C532B">
        <w:t>b)</w:t>
      </w:r>
      <w:r w:rsidR="00C16B34">
        <w:tab/>
      </w:r>
      <w:r w:rsidR="00852103" w:rsidRPr="001C532B">
        <w:t xml:space="preserve">w </w:t>
      </w:r>
      <w:r w:rsidR="00AA308F" w:rsidRPr="00C16B34">
        <w:t>ust</w:t>
      </w:r>
      <w:r w:rsidR="00AA308F" w:rsidRPr="001C532B">
        <w:t>. 4</w:t>
      </w:r>
      <w:r w:rsidR="00852103" w:rsidRPr="001C532B">
        <w:t>:</w:t>
      </w:r>
    </w:p>
    <w:p w14:paraId="758A4EF8" w14:textId="77777777" w:rsidR="00C5302A" w:rsidRPr="001C532B" w:rsidRDefault="00852103" w:rsidP="009C0A9F">
      <w:pPr>
        <w:pStyle w:val="TIRtiret"/>
      </w:pPr>
      <w:r w:rsidRPr="001C532B">
        <w:lastRenderedPageBreak/>
        <w:t>–</w:t>
      </w:r>
      <w:r w:rsidRPr="001C532B">
        <w:tab/>
      </w:r>
      <w:r w:rsidR="00AA308F" w:rsidRPr="001C532B">
        <w:t>pkt 4 otrzymuje brzmienie:</w:t>
      </w:r>
    </w:p>
    <w:p w14:paraId="56047069" w14:textId="77777777" w:rsidR="00AA308F" w:rsidRDefault="00283538" w:rsidP="00D45988">
      <w:pPr>
        <w:pStyle w:val="ZTIRPKTzmpkttiret"/>
      </w:pPr>
      <w:r w:rsidRPr="001C532B">
        <w:t>„</w:t>
      </w:r>
      <w:r w:rsidR="00C16B34">
        <w:t>4)</w:t>
      </w:r>
      <w:r w:rsidR="00CD4FD8" w:rsidRPr="001C532B">
        <w:tab/>
      </w:r>
      <w:r w:rsidR="00AA308F" w:rsidRPr="001C532B">
        <w:t>dane teleadresowe siedziby podmiotu publicznego wraz ze wskazaniem danych kontaktowych osoby lub komórki organizacyjnej wyznaczonej do realizacji spraw w zakresie dostępności cyfrowej w tym podmiocie publicznym</w:t>
      </w:r>
      <w:r w:rsidR="00B96B43" w:rsidRPr="001C532B">
        <w:t>;</w:t>
      </w:r>
      <w:r w:rsidRPr="001C532B">
        <w:t>”</w:t>
      </w:r>
      <w:r w:rsidR="00852103" w:rsidRPr="001C532B">
        <w:t>,</w:t>
      </w:r>
    </w:p>
    <w:p w14:paraId="035950C7" w14:textId="77777777" w:rsidR="004835AD" w:rsidRPr="001C532B" w:rsidRDefault="00852103" w:rsidP="009C0A9F">
      <w:pPr>
        <w:pStyle w:val="TIRtiret"/>
      </w:pPr>
      <w:r w:rsidRPr="001C532B">
        <w:t>–</w:t>
      </w:r>
      <w:r w:rsidRPr="001C532B">
        <w:tab/>
      </w:r>
      <w:r w:rsidR="008823EA" w:rsidRPr="001C532B">
        <w:t>pkt 8 otrzymuje brzmienie:</w:t>
      </w:r>
    </w:p>
    <w:p w14:paraId="147C9399" w14:textId="77777777" w:rsidR="008823EA" w:rsidRDefault="008823EA" w:rsidP="00D45988">
      <w:pPr>
        <w:pStyle w:val="ZTIRPKTzmpkttiret"/>
      </w:pPr>
      <w:r w:rsidRPr="001C532B">
        <w:t>„8)</w:t>
      </w:r>
      <w:r w:rsidR="00C16B34">
        <w:tab/>
      </w:r>
      <w:r w:rsidR="00E66949">
        <w:t>w przypadku</w:t>
      </w:r>
      <w:r w:rsidRPr="001C532B">
        <w:t xml:space="preserve"> strony internetowej</w:t>
      </w:r>
      <w:r w:rsidR="00E66949">
        <w:t xml:space="preserve"> </w:t>
      </w:r>
      <w:r w:rsidR="0041050B" w:rsidRPr="0041050B">
        <w:t>–</w:t>
      </w:r>
      <w:r w:rsidRPr="001C532B">
        <w:t xml:space="preserve"> link do aplikacji mobilnej i deklaracji dostępności tej aplikacji mobilnej, </w:t>
      </w:r>
      <w:r w:rsidR="00E66949">
        <w:t>jeżeli</w:t>
      </w:r>
      <w:r w:rsidRPr="001C532B">
        <w:t xml:space="preserve"> podmiot publiczny </w:t>
      </w:r>
      <w:r w:rsidR="00E66949" w:rsidRPr="001C532B">
        <w:t xml:space="preserve">posiada </w:t>
      </w:r>
      <w:r w:rsidRPr="001C532B">
        <w:t>aplikacj</w:t>
      </w:r>
      <w:r w:rsidR="00E66949">
        <w:t>ę</w:t>
      </w:r>
      <w:r w:rsidRPr="001C532B">
        <w:t xml:space="preserve"> mobiln</w:t>
      </w:r>
      <w:r w:rsidR="00E66949">
        <w:t>ą</w:t>
      </w:r>
      <w:r w:rsidR="0047514B">
        <w:t>;</w:t>
      </w:r>
      <w:r w:rsidRPr="001C532B">
        <w:t>”</w:t>
      </w:r>
      <w:r w:rsidR="00852103" w:rsidRPr="001C532B">
        <w:t>,</w:t>
      </w:r>
    </w:p>
    <w:p w14:paraId="0A371BFE" w14:textId="77777777" w:rsidR="004835AD" w:rsidRDefault="00525B2F" w:rsidP="00C16B34">
      <w:pPr>
        <w:pStyle w:val="LITlitera"/>
      </w:pPr>
      <w:r>
        <w:t>c</w:t>
      </w:r>
      <w:r w:rsidR="00C9675F" w:rsidRPr="00422766">
        <w:t>)</w:t>
      </w:r>
      <w:r w:rsidR="00C16B34">
        <w:tab/>
      </w:r>
      <w:r w:rsidR="00C9675F" w:rsidRPr="00422766">
        <w:t>ust. 7</w:t>
      </w:r>
      <w:r w:rsidR="00125B5A">
        <w:t xml:space="preserve"> </w:t>
      </w:r>
      <w:r w:rsidR="00125B5A" w:rsidRPr="00C16B34">
        <w:t>otrzymuje</w:t>
      </w:r>
      <w:r w:rsidR="00125B5A">
        <w:t xml:space="preserve"> brzmienie:</w:t>
      </w:r>
    </w:p>
    <w:p w14:paraId="7F3996B8" w14:textId="77777777" w:rsidR="004835AD" w:rsidRPr="00CE03F5" w:rsidRDefault="00890017" w:rsidP="00CE03F5">
      <w:pPr>
        <w:pStyle w:val="ZLITUSTzmustliter"/>
        <w:rPr>
          <w:rFonts w:ascii="Times New Roman" w:hAnsi="Times New Roman"/>
          <w:bCs w:val="0"/>
        </w:rPr>
      </w:pPr>
      <w:r w:rsidRPr="00CE03F5">
        <w:rPr>
          <w:rFonts w:ascii="Times New Roman" w:hAnsi="Times New Roman"/>
          <w:bCs w:val="0"/>
        </w:rPr>
        <w:t xml:space="preserve">„7. </w:t>
      </w:r>
      <w:r w:rsidR="006D5791" w:rsidRPr="00CE03F5">
        <w:rPr>
          <w:rFonts w:ascii="Times New Roman" w:hAnsi="Times New Roman"/>
          <w:bCs w:val="0"/>
        </w:rPr>
        <w:t>Podmiot publiczny publikuje deklarację dostępności:</w:t>
      </w:r>
    </w:p>
    <w:p w14:paraId="5F57FA91" w14:textId="1E1ADFBD" w:rsidR="004835AD" w:rsidRDefault="004835AD" w:rsidP="00CE03F5">
      <w:pPr>
        <w:pStyle w:val="ZLITPKTzmpktliter"/>
      </w:pPr>
      <w:r w:rsidRPr="004835AD">
        <w:t>1)</w:t>
      </w:r>
      <w:r w:rsidR="00DB5E86">
        <w:tab/>
      </w:r>
      <w:r w:rsidRPr="005D75CA">
        <w:t xml:space="preserve">posiadanej </w:t>
      </w:r>
      <w:r w:rsidRPr="004835AD">
        <w:t>strony internetowej – na tej stronie internetowej</w:t>
      </w:r>
      <w:r w:rsidR="000252FD">
        <w:t xml:space="preserve"> albo innej </w:t>
      </w:r>
      <w:r w:rsidR="000A66D1">
        <w:t>odpowiednie</w:t>
      </w:r>
      <w:r w:rsidR="00DB23CD">
        <w:t>j</w:t>
      </w:r>
      <w:r w:rsidR="000252FD">
        <w:t xml:space="preserve"> </w:t>
      </w:r>
      <w:r w:rsidR="000A66D1">
        <w:t>stronie internetowej</w:t>
      </w:r>
      <w:r w:rsidR="00F2046A" w:rsidRPr="004835AD">
        <w:t>;</w:t>
      </w:r>
    </w:p>
    <w:p w14:paraId="4D3471E7" w14:textId="77777777" w:rsidR="00C9675F" w:rsidRDefault="00C9675F" w:rsidP="00CE03F5">
      <w:pPr>
        <w:pStyle w:val="ZLITPKTzmpktliter"/>
      </w:pPr>
      <w:r w:rsidRPr="00422766">
        <w:t>2)</w:t>
      </w:r>
      <w:r w:rsidR="00C16B34">
        <w:tab/>
      </w:r>
      <w:r w:rsidR="004835AD" w:rsidRPr="00DE3430">
        <w:t xml:space="preserve">posiadanej </w:t>
      </w:r>
      <w:r w:rsidRPr="00DE3430">
        <w:t xml:space="preserve">aplikacji mobilnej – na stronie internetowej wybranej spośród stron internetowych posiadanych przez ten podmiot oraz w tej aplikacji mobilnej, </w:t>
      </w:r>
      <w:r w:rsidR="00D81873">
        <w:t>jeżeli nie będzie wiązało się to z poniesieniem nadmiernych kosztów.</w:t>
      </w:r>
      <w:r w:rsidR="00890017">
        <w:t>”;</w:t>
      </w:r>
    </w:p>
    <w:p w14:paraId="700293F7" w14:textId="745AB67F" w:rsidR="00BD7E55" w:rsidRDefault="00BD7E55" w:rsidP="00D45988">
      <w:pPr>
        <w:pStyle w:val="PKTpunkt"/>
      </w:pPr>
      <w:r>
        <w:t>5)</w:t>
      </w:r>
      <w:r w:rsidR="00C16B34">
        <w:tab/>
      </w:r>
      <w:r w:rsidR="00D141BF">
        <w:t xml:space="preserve">w </w:t>
      </w:r>
      <w:r>
        <w:t>art. 26</w:t>
      </w:r>
      <w:r w:rsidR="00D141BF">
        <w:t xml:space="preserve"> wyrazy </w:t>
      </w:r>
      <w:r w:rsidR="00D141BF" w:rsidRPr="00D141BF">
        <w:t>„</w:t>
      </w:r>
      <w:r w:rsidR="00D141BF">
        <w:t>36 miesięcy” zastępuje się wyrazami „72 miesiące”;</w:t>
      </w:r>
    </w:p>
    <w:p w14:paraId="6C65FB12" w14:textId="77777777" w:rsidR="00283538" w:rsidRPr="00570C83" w:rsidRDefault="00BD7E55" w:rsidP="00D45988">
      <w:pPr>
        <w:pStyle w:val="PKTpunkt"/>
      </w:pPr>
      <w:r>
        <w:t>6</w:t>
      </w:r>
      <w:r w:rsidR="004B7352" w:rsidRPr="00CF7A1C">
        <w:t>)</w:t>
      </w:r>
      <w:r w:rsidR="00C16B34">
        <w:tab/>
      </w:r>
      <w:r w:rsidR="00283538" w:rsidRPr="00CF7A1C">
        <w:t xml:space="preserve">załącznik otrzymuje brzmienie określone w </w:t>
      </w:r>
      <w:r w:rsidR="00B96B43" w:rsidRPr="00CF7A1C">
        <w:t>załączniku do niniejszej ustawy.</w:t>
      </w:r>
    </w:p>
    <w:p w14:paraId="1F5DDC6C" w14:textId="77777777" w:rsidR="000A767F" w:rsidRDefault="00D96D6A" w:rsidP="00D45988">
      <w:pPr>
        <w:pStyle w:val="ARTartustawynprozporzdzenia"/>
      </w:pPr>
      <w:r>
        <w:rPr>
          <w:rStyle w:val="Ppogrubienie"/>
          <w:rFonts w:ascii="Times New Roman" w:hAnsi="Times New Roman" w:cs="Times New Roman"/>
        </w:rPr>
        <w:t xml:space="preserve">Art. </w:t>
      </w:r>
      <w:r w:rsidR="004512EC">
        <w:rPr>
          <w:rStyle w:val="Ppogrubienie"/>
          <w:rFonts w:ascii="Times New Roman" w:hAnsi="Times New Roman" w:cs="Times New Roman"/>
        </w:rPr>
        <w:t>2</w:t>
      </w:r>
      <w:r w:rsidR="0095764F" w:rsidRPr="00570C83">
        <w:rPr>
          <w:rStyle w:val="Ppogrubienie"/>
          <w:rFonts w:ascii="Times New Roman" w:hAnsi="Times New Roman" w:cs="Times New Roman"/>
        </w:rPr>
        <w:t>.</w:t>
      </w:r>
      <w:r>
        <w:rPr>
          <w:rStyle w:val="Ppogrubienie"/>
          <w:rFonts w:ascii="Times New Roman" w:hAnsi="Times New Roman" w:cs="Times New Roman"/>
          <w:b w:val="0"/>
        </w:rPr>
        <w:t xml:space="preserve"> </w:t>
      </w:r>
      <w:r w:rsidR="00AA308F" w:rsidRPr="00570C83">
        <w:t>Ustawa</w:t>
      </w:r>
      <w:r>
        <w:rPr>
          <w:rStyle w:val="Ppogrubienie"/>
          <w:rFonts w:ascii="Times New Roman" w:hAnsi="Times New Roman" w:cs="Times New Roman"/>
          <w:b w:val="0"/>
        </w:rPr>
        <w:t xml:space="preserve"> </w:t>
      </w:r>
      <w:r w:rsidR="00AA308F" w:rsidRPr="00570C83">
        <w:t>wchodzi</w:t>
      </w:r>
      <w:r>
        <w:rPr>
          <w:rStyle w:val="Ppogrubienie"/>
          <w:rFonts w:ascii="Times New Roman" w:hAnsi="Times New Roman" w:cs="Times New Roman"/>
          <w:b w:val="0"/>
        </w:rPr>
        <w:t xml:space="preserve"> </w:t>
      </w:r>
      <w:r w:rsidR="00AA308F" w:rsidRPr="00570C83">
        <w:t>w</w:t>
      </w:r>
      <w:r>
        <w:rPr>
          <w:rStyle w:val="Ppogrubienie"/>
          <w:rFonts w:ascii="Times New Roman" w:hAnsi="Times New Roman" w:cs="Times New Roman"/>
          <w:b w:val="0"/>
        </w:rPr>
        <w:t xml:space="preserve"> </w:t>
      </w:r>
      <w:r w:rsidR="00AA308F" w:rsidRPr="00570C83">
        <w:t>życie</w:t>
      </w:r>
      <w:r>
        <w:rPr>
          <w:rStyle w:val="Ppogrubienie"/>
          <w:rFonts w:ascii="Times New Roman" w:hAnsi="Times New Roman" w:cs="Times New Roman"/>
          <w:b w:val="0"/>
        </w:rPr>
        <w:t xml:space="preserve"> </w:t>
      </w:r>
      <w:r w:rsidR="00AA308F" w:rsidRPr="00570C83">
        <w:t>po</w:t>
      </w:r>
      <w:r>
        <w:rPr>
          <w:rStyle w:val="Ppogrubienie"/>
          <w:rFonts w:ascii="Times New Roman" w:hAnsi="Times New Roman" w:cs="Times New Roman"/>
          <w:b w:val="0"/>
        </w:rPr>
        <w:t xml:space="preserve"> </w:t>
      </w:r>
      <w:r w:rsidR="00AA308F" w:rsidRPr="00570C83">
        <w:t>upływie</w:t>
      </w:r>
      <w:r>
        <w:rPr>
          <w:rStyle w:val="Ppogrubienie"/>
          <w:rFonts w:ascii="Times New Roman" w:hAnsi="Times New Roman" w:cs="Times New Roman"/>
          <w:b w:val="0"/>
        </w:rPr>
        <w:t xml:space="preserve"> </w:t>
      </w:r>
      <w:r w:rsidR="0053140F">
        <w:t>30</w:t>
      </w:r>
      <w:r>
        <w:rPr>
          <w:rStyle w:val="Ppogrubienie"/>
          <w:rFonts w:ascii="Times New Roman" w:hAnsi="Times New Roman" w:cs="Times New Roman"/>
          <w:b w:val="0"/>
        </w:rPr>
        <w:t xml:space="preserve"> </w:t>
      </w:r>
      <w:r w:rsidR="00AA308F" w:rsidRPr="00D45988">
        <w:t>dni</w:t>
      </w:r>
      <w:r>
        <w:rPr>
          <w:rStyle w:val="Ppogrubienie"/>
          <w:rFonts w:ascii="Times New Roman" w:hAnsi="Times New Roman" w:cs="Times New Roman"/>
          <w:b w:val="0"/>
        </w:rPr>
        <w:t xml:space="preserve"> </w:t>
      </w:r>
      <w:r w:rsidR="00AA308F" w:rsidRPr="00570C83">
        <w:t>od</w:t>
      </w:r>
      <w:r>
        <w:rPr>
          <w:rStyle w:val="Ppogrubienie"/>
          <w:rFonts w:ascii="Times New Roman" w:hAnsi="Times New Roman" w:cs="Times New Roman"/>
          <w:b w:val="0"/>
        </w:rPr>
        <w:t xml:space="preserve"> </w:t>
      </w:r>
      <w:r w:rsidR="00AA308F" w:rsidRPr="00570C83">
        <w:t>dnia</w:t>
      </w:r>
      <w:r>
        <w:rPr>
          <w:rStyle w:val="Ppogrubienie"/>
          <w:rFonts w:ascii="Times New Roman" w:hAnsi="Times New Roman" w:cs="Times New Roman"/>
          <w:b w:val="0"/>
        </w:rPr>
        <w:t xml:space="preserve"> </w:t>
      </w:r>
      <w:r w:rsidR="00AA308F" w:rsidRPr="00570C83">
        <w:t>ogłoszenia.</w:t>
      </w:r>
    </w:p>
    <w:p w14:paraId="6EDDF0E0" w14:textId="77777777" w:rsidR="00C16B34" w:rsidRDefault="00C16B34" w:rsidP="00512EFF">
      <w:pPr>
        <w:pStyle w:val="OZNPARAFYADNOTACJE"/>
      </w:pPr>
    </w:p>
    <w:p w14:paraId="48364FEC" w14:textId="77777777" w:rsidR="008448F3" w:rsidRDefault="008448F3" w:rsidP="00512EFF">
      <w:pPr>
        <w:pStyle w:val="OZNPARAFYADNOTACJE"/>
      </w:pPr>
    </w:p>
    <w:p w14:paraId="60BF0FF3" w14:textId="77777777" w:rsidR="008448F3" w:rsidRDefault="008448F3" w:rsidP="00512EFF">
      <w:pPr>
        <w:pStyle w:val="OZNPARAFYADNOTACJE"/>
      </w:pPr>
    </w:p>
    <w:p w14:paraId="536EB2D1" w14:textId="66A4F104" w:rsidR="00512EFF" w:rsidRPr="00512EFF" w:rsidRDefault="00512EFF" w:rsidP="00512EFF">
      <w:pPr>
        <w:pStyle w:val="OZNPARAFYADNOTACJE"/>
      </w:pPr>
      <w:r w:rsidRPr="00512EFF">
        <w:t>ZA ZGODNOŚĆ POD WZGLĘDEM PRAWNYM,</w:t>
      </w:r>
    </w:p>
    <w:p w14:paraId="58CED610" w14:textId="77777777" w:rsidR="00512EFF" w:rsidRPr="00512EFF" w:rsidRDefault="00512EFF" w:rsidP="00512EFF">
      <w:pPr>
        <w:pStyle w:val="OZNPARAFYADNOTACJE"/>
      </w:pPr>
      <w:r w:rsidRPr="00512EFF">
        <w:t>REDAKCYJNYM I LEGISLACYJNYM</w:t>
      </w:r>
    </w:p>
    <w:p w14:paraId="11F7115C" w14:textId="77777777" w:rsidR="00512EFF" w:rsidRPr="00512EFF" w:rsidRDefault="00512EFF" w:rsidP="00512EFF">
      <w:pPr>
        <w:pStyle w:val="OZNPARAFYADNOTACJE"/>
      </w:pPr>
      <w:r w:rsidRPr="00512EFF">
        <w:t>Aleksandra Wrochna</w:t>
      </w:r>
    </w:p>
    <w:p w14:paraId="4E61BF54" w14:textId="77777777" w:rsidR="00512EFF" w:rsidRPr="00512EFF" w:rsidRDefault="00512EFF" w:rsidP="00512EFF">
      <w:pPr>
        <w:pStyle w:val="OZNPARAFYADNOTACJE"/>
      </w:pPr>
      <w:r w:rsidRPr="00512EFF">
        <w:t>Zastępca Dyrektora Departamentu Prawnego</w:t>
      </w:r>
    </w:p>
    <w:p w14:paraId="16F5C93E" w14:textId="77777777" w:rsidR="00512EFF" w:rsidRPr="00512EFF" w:rsidRDefault="00512EFF" w:rsidP="00512EFF">
      <w:pPr>
        <w:pStyle w:val="OZNPARAFYADNOTACJE"/>
      </w:pPr>
      <w:r w:rsidRPr="00512EFF">
        <w:t>w Kancelarii Prezesa Rady Ministrów</w:t>
      </w:r>
    </w:p>
    <w:p w14:paraId="6E360D30" w14:textId="77777777" w:rsidR="000A767F" w:rsidRPr="00C16B34" w:rsidRDefault="00512EFF" w:rsidP="00C16B34">
      <w:pPr>
        <w:pStyle w:val="OZNPARAFYADNOTACJE"/>
      </w:pPr>
      <w:r w:rsidRPr="00512EFF">
        <w:t>/- podpisano elektronicznie/</w:t>
      </w:r>
    </w:p>
    <w:p w14:paraId="2AA4D716" w14:textId="77777777" w:rsidR="00525B2F" w:rsidRDefault="00AA308F" w:rsidP="00525B2F">
      <w:pPr>
        <w:pStyle w:val="TEKSTZacznikido"/>
        <w:rPr>
          <w:rFonts w:cs="Times New Roman"/>
        </w:rPr>
      </w:pPr>
      <w:r w:rsidRPr="00570C83">
        <w:rPr>
          <w:rFonts w:cs="Times New Roman"/>
        </w:rPr>
        <w:br w:type="page"/>
      </w:r>
    </w:p>
    <w:p w14:paraId="10DC2928" w14:textId="77777777" w:rsidR="00525B2F" w:rsidRDefault="00525B2F" w:rsidP="00525B2F">
      <w:pPr>
        <w:pStyle w:val="TEKSTZacznikido"/>
        <w:rPr>
          <w:rFonts w:cs="Times New Roman"/>
        </w:rPr>
      </w:pPr>
      <w:r>
        <w:rPr>
          <w:rFonts w:cs="Times New Roman"/>
        </w:rPr>
        <w:lastRenderedPageBreak/>
        <w:t xml:space="preserve">Załącznik do ustawy </w:t>
      </w:r>
    </w:p>
    <w:p w14:paraId="6923A5EA" w14:textId="77777777" w:rsidR="00525B2F" w:rsidRDefault="00525B2F" w:rsidP="00525B2F">
      <w:pPr>
        <w:pStyle w:val="TEKSTZacznikido"/>
        <w:rPr>
          <w:rFonts w:cs="Times New Roman"/>
        </w:rPr>
      </w:pPr>
      <w:r>
        <w:rPr>
          <w:rFonts w:cs="Times New Roman"/>
        </w:rPr>
        <w:t xml:space="preserve">z dnia ………………. r. </w:t>
      </w:r>
    </w:p>
    <w:p w14:paraId="17A0FFAA" w14:textId="77777777" w:rsidR="00525B2F" w:rsidRDefault="00525B2F" w:rsidP="00525B2F">
      <w:pPr>
        <w:pStyle w:val="TEKSTZacznikido"/>
        <w:rPr>
          <w:rFonts w:cs="Times New Roman"/>
        </w:rPr>
      </w:pPr>
      <w:r>
        <w:rPr>
          <w:rFonts w:cs="Times New Roman"/>
        </w:rPr>
        <w:t xml:space="preserve">(poz. ……) </w:t>
      </w:r>
    </w:p>
    <w:p w14:paraId="167CE7B0" w14:textId="77777777" w:rsidR="00B96B43" w:rsidRPr="00570C83" w:rsidRDefault="00B96B43" w:rsidP="00525B2F">
      <w:pPr>
        <w:pStyle w:val="TEKSTZacznikido"/>
        <w:rPr>
          <w:rFonts w:cs="Times New Roman"/>
        </w:rPr>
      </w:pPr>
    </w:p>
    <w:p w14:paraId="50D116FD" w14:textId="77777777" w:rsidR="00B96B43" w:rsidRPr="00570C83" w:rsidRDefault="00B96B43" w:rsidP="00570C83">
      <w:pPr>
        <w:pStyle w:val="TEKSTZacznikido"/>
        <w:ind w:left="0"/>
        <w:jc w:val="center"/>
        <w:rPr>
          <w:rFonts w:cs="Times New Roman"/>
        </w:rPr>
      </w:pPr>
      <w:r w:rsidRPr="00570C83">
        <w:rPr>
          <w:rFonts w:cs="Times New Roman"/>
        </w:rPr>
        <w:t>WYTYCZNE DLA DOSTĘPNOŚCI TREŚCI INTERNETOWYCH 2.1 STOSOWANE DLA STRON INTERNETOWYCH I APLIKACJI MOBILNYCH W ZAKRESIE DOSTĘPNOŚCI DLA OSÓB NIEPEŁNOSPRAWNYCH</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9" w:type="dxa"/>
          <w:right w:w="70" w:type="dxa"/>
        </w:tblCellMar>
        <w:tblLook w:val="04A0" w:firstRow="1" w:lastRow="0" w:firstColumn="1" w:lastColumn="0" w:noHBand="0" w:noVBand="1"/>
      </w:tblPr>
      <w:tblGrid>
        <w:gridCol w:w="1985"/>
        <w:gridCol w:w="2835"/>
        <w:gridCol w:w="4678"/>
        <w:gridCol w:w="850"/>
      </w:tblGrid>
      <w:tr w:rsidR="00B96B43" w:rsidRPr="00570C83" w14:paraId="4476DAAA" w14:textId="77777777" w:rsidTr="00F11050">
        <w:trPr>
          <w:tblHeader/>
        </w:trPr>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6BCFC4"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Zasada</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E3C3D"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Wytyczna</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29C62F"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Kryterium sukcesu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4A5B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Poziom</w:t>
            </w:r>
          </w:p>
        </w:tc>
      </w:tr>
      <w:tr w:rsidR="00B96B43" w:rsidRPr="00570C83" w14:paraId="01FB23F7" w14:textId="77777777" w:rsidTr="00F11050">
        <w:trPr>
          <w:trHeight w:val="108"/>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AF7C88"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 – Postrzegalność</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93FE7" w14:textId="77777777" w:rsidR="00B96B43" w:rsidRPr="00570C83" w:rsidRDefault="001702A9" w:rsidP="00D620E6">
            <w:pPr>
              <w:spacing w:after="0"/>
              <w:rPr>
                <w:rFonts w:ascii="Times New Roman" w:hAnsi="Times New Roman" w:cs="Times New Roman"/>
              </w:rPr>
            </w:pPr>
            <w:r>
              <w:rPr>
                <w:rFonts w:ascii="Times New Roman" w:hAnsi="Times New Roman" w:cs="Times New Roman"/>
              </w:rPr>
              <w:t>1</w:t>
            </w:r>
            <w:r w:rsidRPr="00570C83">
              <w:rPr>
                <w:rFonts w:ascii="Times New Roman" w:hAnsi="Times New Roman" w:cs="Times New Roman"/>
              </w:rPr>
              <w:t xml:space="preserve">.1 – </w:t>
            </w:r>
            <w:r w:rsidR="00B96B43" w:rsidRPr="00570C83">
              <w:rPr>
                <w:rFonts w:ascii="Times New Roman" w:hAnsi="Times New Roman" w:cs="Times New Roman"/>
              </w:rPr>
              <w:t xml:space="preserve">Alternatywa </w:t>
            </w:r>
            <w:r w:rsidR="004D28C8">
              <w:rPr>
                <w:rFonts w:ascii="Times New Roman" w:hAnsi="Times New Roman" w:cs="Times New Roman"/>
              </w:rPr>
              <w:t>tekstowa</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55A3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1.1.1 – Treść nietekstowa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03770E"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2E0B7F09" w14:textId="77777777" w:rsidTr="00F11050">
        <w:trPr>
          <w:trHeight w:val="169"/>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9F5FF9" w14:textId="77777777" w:rsidR="00B96B43" w:rsidRPr="00570C83" w:rsidRDefault="00B96B43" w:rsidP="00D620E6">
            <w:pPr>
              <w:spacing w:after="0"/>
              <w:rPr>
                <w:rFonts w:ascii="Times New Roman" w:hAnsi="Times New Roman" w:cs="Times New Roman"/>
              </w:rPr>
            </w:pP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F31917F" w14:textId="77777777" w:rsidR="00B96B43" w:rsidRPr="00570C83" w:rsidRDefault="001702A9" w:rsidP="00D620E6">
            <w:pPr>
              <w:spacing w:after="0"/>
              <w:rPr>
                <w:rFonts w:ascii="Times New Roman" w:hAnsi="Times New Roman" w:cs="Times New Roman"/>
              </w:rPr>
            </w:pPr>
            <w:r w:rsidRPr="00570C83">
              <w:rPr>
                <w:rFonts w:ascii="Times New Roman" w:hAnsi="Times New Roman" w:cs="Times New Roman"/>
              </w:rPr>
              <w:t>1</w:t>
            </w:r>
            <w:r>
              <w:rPr>
                <w:rFonts w:ascii="Times New Roman" w:hAnsi="Times New Roman" w:cs="Times New Roman"/>
              </w:rPr>
              <w:t>.2</w:t>
            </w:r>
            <w:r w:rsidRPr="00570C83">
              <w:rPr>
                <w:rFonts w:ascii="Times New Roman" w:hAnsi="Times New Roman" w:cs="Times New Roman"/>
              </w:rPr>
              <w:t xml:space="preserve"> – </w:t>
            </w:r>
            <w:r w:rsidR="004D28C8">
              <w:rPr>
                <w:rFonts w:ascii="Times New Roman" w:hAnsi="Times New Roman" w:cs="Times New Roman"/>
              </w:rPr>
              <w:t>Multimedia</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A7B54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1.2.1 – Tylko audio </w:t>
            </w:r>
            <w:r w:rsidR="004D28C8">
              <w:rPr>
                <w:rFonts w:ascii="Times New Roman" w:hAnsi="Times New Roman" w:cs="Times New Roman"/>
              </w:rPr>
              <w:t>lub</w:t>
            </w:r>
            <w:r w:rsidRPr="00570C83">
              <w:rPr>
                <w:rFonts w:ascii="Times New Roman" w:hAnsi="Times New Roman" w:cs="Times New Roman"/>
              </w:rPr>
              <w:t xml:space="preserve"> tylko wideo (nagranie)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1BC8E"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654499DF" w14:textId="77777777" w:rsidTr="00F11050">
        <w:trPr>
          <w:trHeight w:val="215"/>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1541E2"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8D24C2"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8266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1.2.2 – Napisy rozszerzone (nagranie)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75337B"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300B894C"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CFF5F4"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1B5860"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1A2056"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1.2.3 – </w:t>
            </w:r>
            <w:proofErr w:type="spellStart"/>
            <w:r w:rsidRPr="00570C83">
              <w:rPr>
                <w:rFonts w:ascii="Times New Roman" w:hAnsi="Times New Roman" w:cs="Times New Roman"/>
              </w:rPr>
              <w:t>Audiodeskrypcja</w:t>
            </w:r>
            <w:proofErr w:type="spellEnd"/>
            <w:r w:rsidRPr="00570C83">
              <w:rPr>
                <w:rFonts w:ascii="Times New Roman" w:hAnsi="Times New Roman" w:cs="Times New Roman"/>
              </w:rPr>
              <w:t xml:space="preserve"> lub alternatywa </w:t>
            </w:r>
            <w:r w:rsidR="004D28C8">
              <w:rPr>
                <w:rFonts w:ascii="Times New Roman" w:hAnsi="Times New Roman" w:cs="Times New Roman"/>
              </w:rPr>
              <w:t xml:space="preserve">tekstowa </w:t>
            </w:r>
            <w:r w:rsidRPr="00570C83">
              <w:rPr>
                <w:rFonts w:ascii="Times New Roman" w:hAnsi="Times New Roman" w:cs="Times New Roman"/>
              </w:rPr>
              <w:t>dla mediów (nagranie)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57455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52D4213E"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9F0419"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6D049C"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679C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1.2.5 – </w:t>
            </w:r>
            <w:proofErr w:type="spellStart"/>
            <w:r w:rsidRPr="00570C83">
              <w:rPr>
                <w:rFonts w:ascii="Times New Roman" w:hAnsi="Times New Roman" w:cs="Times New Roman"/>
              </w:rPr>
              <w:t>Audiodeskrypcja</w:t>
            </w:r>
            <w:proofErr w:type="spellEnd"/>
            <w:r w:rsidRPr="00570C83">
              <w:rPr>
                <w:rFonts w:ascii="Times New Roman" w:hAnsi="Times New Roman" w:cs="Times New Roman"/>
              </w:rPr>
              <w:t xml:space="preserve"> (nagranie)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A045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44CFA0E1" w14:textId="77777777" w:rsidTr="00F11050">
        <w:trPr>
          <w:trHeight w:val="246"/>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0C197F" w14:textId="77777777" w:rsidR="00B96B43" w:rsidRPr="00570C83" w:rsidRDefault="00B96B43" w:rsidP="00D620E6">
            <w:pPr>
              <w:spacing w:after="0"/>
              <w:rPr>
                <w:rFonts w:ascii="Times New Roman" w:hAnsi="Times New Roman" w:cs="Times New Roman"/>
              </w:rPr>
            </w:pP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E3AEC08" w14:textId="77777777" w:rsidR="00B96B43" w:rsidRPr="00570C83" w:rsidRDefault="001702A9" w:rsidP="00D620E6">
            <w:pPr>
              <w:spacing w:after="0"/>
              <w:rPr>
                <w:rFonts w:ascii="Times New Roman" w:hAnsi="Times New Roman" w:cs="Times New Roman"/>
              </w:rPr>
            </w:pPr>
            <w:r w:rsidRPr="00570C83">
              <w:rPr>
                <w:rFonts w:ascii="Times New Roman" w:hAnsi="Times New Roman" w:cs="Times New Roman"/>
              </w:rPr>
              <w:t>1</w:t>
            </w:r>
            <w:r>
              <w:rPr>
                <w:rFonts w:ascii="Times New Roman" w:hAnsi="Times New Roman" w:cs="Times New Roman"/>
              </w:rPr>
              <w:t>.3</w:t>
            </w:r>
            <w:r w:rsidRPr="00570C83">
              <w:rPr>
                <w:rFonts w:ascii="Times New Roman" w:hAnsi="Times New Roman" w:cs="Times New Roman"/>
              </w:rPr>
              <w:t xml:space="preserve"> – </w:t>
            </w:r>
            <w:r w:rsidR="00B96B43" w:rsidRPr="00570C83">
              <w:rPr>
                <w:rFonts w:ascii="Times New Roman" w:hAnsi="Times New Roman" w:cs="Times New Roman"/>
              </w:rPr>
              <w:t xml:space="preserve">Możliwość adaptacji </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DF96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1.3.1 – Informacje i relacje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4A52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4F71F92B"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5BB2EC"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EC0A1D"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B01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1.3.2 – Zrozumiała kolejność</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0CF725"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52244A7F" w14:textId="77777777" w:rsidTr="00F11050">
        <w:trPr>
          <w:trHeight w:val="252"/>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70BF56"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69227B"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C9329"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1.3.3 – Właściwości zmysłowe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867ADD"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7B236329" w14:textId="77777777" w:rsidTr="00F11050">
        <w:trPr>
          <w:trHeight w:val="252"/>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54ADEA6"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44C7174"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A93F3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1.3.4 – Orientacja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EEBE7AB"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2D812F24" w14:textId="77777777" w:rsidTr="00F11050">
        <w:trPr>
          <w:trHeight w:val="252"/>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7A00625"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1882CB"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45E9F47"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1.3.5 – Określenie pożądanej wartości</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11589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3D20297E"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FA4315" w14:textId="77777777" w:rsidR="00B96B43" w:rsidRPr="00570C83" w:rsidRDefault="00B96B43" w:rsidP="00D620E6">
            <w:pPr>
              <w:spacing w:after="0"/>
              <w:rPr>
                <w:rFonts w:ascii="Times New Roman" w:hAnsi="Times New Roman" w:cs="Times New Roman"/>
              </w:rPr>
            </w:pP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EC4FA6" w14:textId="77777777" w:rsidR="00B96B43" w:rsidRPr="00570C83" w:rsidRDefault="001702A9" w:rsidP="00D620E6">
            <w:pPr>
              <w:spacing w:after="0"/>
              <w:rPr>
                <w:rFonts w:ascii="Times New Roman" w:hAnsi="Times New Roman" w:cs="Times New Roman"/>
              </w:rPr>
            </w:pPr>
            <w:r w:rsidRPr="00570C83">
              <w:rPr>
                <w:rFonts w:ascii="Times New Roman" w:hAnsi="Times New Roman" w:cs="Times New Roman"/>
              </w:rPr>
              <w:t>1</w:t>
            </w:r>
            <w:r>
              <w:rPr>
                <w:rFonts w:ascii="Times New Roman" w:hAnsi="Times New Roman" w:cs="Times New Roman"/>
              </w:rPr>
              <w:t>.4</w:t>
            </w:r>
            <w:r w:rsidRPr="00570C83">
              <w:rPr>
                <w:rFonts w:ascii="Times New Roman" w:hAnsi="Times New Roman" w:cs="Times New Roman"/>
              </w:rPr>
              <w:t xml:space="preserve"> – </w:t>
            </w:r>
            <w:r w:rsidR="004D28C8">
              <w:rPr>
                <w:rFonts w:ascii="Times New Roman" w:hAnsi="Times New Roman" w:cs="Times New Roman"/>
              </w:rPr>
              <w:t>Rozróżnialność</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B87708"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1.4.1 – Użycie koloru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B650A"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6EF86D87"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E4A02A"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E1397B"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6715CD"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1.4.2 – Kontrola odtwarzania dźwięku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BC2587"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16D73EEB"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8ECACE"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0716EE"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0776F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1.4.3 – Kontrast (minim</w:t>
            </w:r>
            <w:r w:rsidR="004D28C8">
              <w:rPr>
                <w:rFonts w:ascii="Times New Roman" w:hAnsi="Times New Roman" w:cs="Times New Roman"/>
              </w:rPr>
              <w:t>um</w:t>
            </w:r>
            <w:r w:rsidRPr="00570C83">
              <w:rPr>
                <w:rFonts w:ascii="Times New Roman" w:hAnsi="Times New Roman" w:cs="Times New Roman"/>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C892D"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706AE43D" w14:textId="77777777" w:rsidTr="00F11050">
        <w:trPr>
          <w:trHeight w:val="320"/>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95805B"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6A0BBC"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50FB9E"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1.4.4 – Zmiana rozmiaru tekstu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D1D1D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7331043F" w14:textId="77777777" w:rsidTr="00F11050">
        <w:trPr>
          <w:trHeight w:val="254"/>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C2E388"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9FBD7D"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351929"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1.4.5 – </w:t>
            </w:r>
            <w:r w:rsidR="004D28C8">
              <w:rPr>
                <w:rFonts w:ascii="Times New Roman" w:hAnsi="Times New Roman" w:cs="Times New Roman"/>
              </w:rPr>
              <w:t>Obrazy tekstu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30EF1"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04D6E800" w14:textId="77777777" w:rsidTr="00F11050">
        <w:trPr>
          <w:trHeight w:val="254"/>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A7CD6C7"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2486DBA"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FA665D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1.4.10 – Dopasowanie do ekranu</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D9CD651"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6C5F4A1A" w14:textId="77777777" w:rsidTr="00F11050">
        <w:trPr>
          <w:trHeight w:val="254"/>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38F042B"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09FB9FD"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AAF0CFA"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1.4.11 – Kontrast elementów nietekstowych</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91CC81"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6A2ED6CC" w14:textId="77777777" w:rsidTr="00F11050">
        <w:trPr>
          <w:trHeight w:val="254"/>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AAAE19"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E5C93B"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E658F3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1.4.12 – Odstępy w tekście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934D07B"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41A0CE36" w14:textId="77777777" w:rsidTr="00F11050">
        <w:trPr>
          <w:trHeight w:val="254"/>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1F34154"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1DF89A"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4D6F18D"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1.4.13 – Treść spod kursora lub fokusu</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4FDA49B"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3BF803F9" w14:textId="77777777" w:rsidTr="00F11050">
        <w:trPr>
          <w:trHeight w:val="179"/>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113C9DA"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 – Funkcjonalność</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F33A109"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2.1 – Dostępność z klawiatury</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B5C53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2.1.1 – Klawiatura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5C8F7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78EFC327"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BD2F17"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C451B5"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F6A1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2.1.2 – </w:t>
            </w:r>
            <w:r w:rsidR="004D28C8">
              <w:rPr>
                <w:rFonts w:ascii="Times New Roman" w:hAnsi="Times New Roman" w:cs="Times New Roman"/>
              </w:rPr>
              <w:t>Bez</w:t>
            </w:r>
            <w:r w:rsidRPr="00570C83">
              <w:rPr>
                <w:rFonts w:ascii="Times New Roman" w:hAnsi="Times New Roman" w:cs="Times New Roman"/>
              </w:rPr>
              <w:t xml:space="preserve"> pułapki na klawiaturę</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6C0CF"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4940A9BD"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11E960C"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D6F0CF9"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51724B"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2.1.4 – Jednoznakowe skróty klawiaturowe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79A65D1"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09BB2B0C"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BC94F2" w14:textId="77777777" w:rsidR="00B96B43" w:rsidRPr="00570C83" w:rsidRDefault="00B96B43" w:rsidP="00D620E6">
            <w:pPr>
              <w:spacing w:after="0"/>
              <w:rPr>
                <w:rFonts w:ascii="Times New Roman" w:hAnsi="Times New Roman" w:cs="Times New Roman"/>
              </w:rPr>
            </w:pP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DAAE738"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2.2 – Wystarczając</w:t>
            </w:r>
            <w:r w:rsidR="004D28C8">
              <w:rPr>
                <w:rFonts w:ascii="Times New Roman" w:hAnsi="Times New Roman" w:cs="Times New Roman"/>
              </w:rPr>
              <w:t>y</w:t>
            </w:r>
            <w:r w:rsidRPr="00570C83">
              <w:rPr>
                <w:rFonts w:ascii="Times New Roman" w:hAnsi="Times New Roman" w:cs="Times New Roman"/>
              </w:rPr>
              <w:t xml:space="preserve"> czas</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55158"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2.2.1 – </w:t>
            </w:r>
            <w:r w:rsidR="004D28C8">
              <w:rPr>
                <w:rFonts w:ascii="Times New Roman" w:hAnsi="Times New Roman" w:cs="Times New Roman"/>
              </w:rPr>
              <w:t>Dostosowanie</w:t>
            </w:r>
            <w:r w:rsidRPr="00570C83">
              <w:rPr>
                <w:rFonts w:ascii="Times New Roman" w:hAnsi="Times New Roman" w:cs="Times New Roman"/>
              </w:rPr>
              <w:t xml:space="preserve"> czasu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BE7C81"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5DABBE25"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6F1817"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FC150D"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C086B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2.2.2 – </w:t>
            </w:r>
            <w:r w:rsidR="004D28C8">
              <w:rPr>
                <w:rFonts w:ascii="Times New Roman" w:hAnsi="Times New Roman" w:cs="Times New Roman"/>
              </w:rPr>
              <w:t>Pauza, zatrzymanie, ukrycie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FDD39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5C969371"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AA6D4E" w14:textId="77777777" w:rsidR="00B96B43" w:rsidRPr="00570C83" w:rsidRDefault="00B96B43" w:rsidP="00D620E6">
            <w:pPr>
              <w:spacing w:after="0"/>
              <w:rPr>
                <w:rFonts w:ascii="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301756"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2.3 – Ataki padaczki </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FC1B74"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2.3.1 – Trzy błyski lub wartości poniżej progu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B6097B"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3350E78A"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A33523" w14:textId="77777777" w:rsidR="00B96B43" w:rsidRPr="00570C83" w:rsidRDefault="00B96B43" w:rsidP="00D620E6">
            <w:pPr>
              <w:spacing w:after="0"/>
              <w:rPr>
                <w:rFonts w:ascii="Times New Roman" w:hAnsi="Times New Roman" w:cs="Times New Roman"/>
              </w:rPr>
            </w:pP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B3A467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2.4 – Możliwość nawigacji</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AD6F3D"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2.4.1 – Możliwość pominięcia bloków</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91395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2436C070" w14:textId="77777777" w:rsidTr="00F11050">
        <w:trPr>
          <w:trHeight w:val="172"/>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CF706D"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18D087"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49719"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2.4.2 – Tytuł stron</w:t>
            </w:r>
            <w:r w:rsidR="001702A9">
              <w:rPr>
                <w:rFonts w:ascii="Times New Roman" w:hAnsi="Times New Roman" w:cs="Times New Roman"/>
              </w:rPr>
              <w:t>y</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255B9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55F4E7D6"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815EB4"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1B0D4F"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A7B7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2.4.3 – Kolejność fokus</w:t>
            </w:r>
            <w:r w:rsidR="0084048B">
              <w:rPr>
                <w:rFonts w:ascii="Times New Roman" w:hAnsi="Times New Roman" w:cs="Times New Roman"/>
              </w:rPr>
              <w:t>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BEA60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18385CCF" w14:textId="77777777" w:rsidTr="00F11050">
        <w:trPr>
          <w:trHeight w:val="254"/>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6ECF8A"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1CAFF5"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97272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2.4.4 – Cel </w:t>
            </w:r>
            <w:r w:rsidR="001702A9">
              <w:rPr>
                <w:rFonts w:ascii="Times New Roman" w:hAnsi="Times New Roman" w:cs="Times New Roman"/>
              </w:rPr>
              <w:t>łącza</w:t>
            </w:r>
            <w:r w:rsidR="001702A9" w:rsidRPr="00570C83">
              <w:rPr>
                <w:rFonts w:ascii="Times New Roman" w:hAnsi="Times New Roman" w:cs="Times New Roman"/>
              </w:rPr>
              <w:t xml:space="preserve"> </w:t>
            </w:r>
            <w:r w:rsidRPr="00570C83">
              <w:rPr>
                <w:rFonts w:ascii="Times New Roman" w:hAnsi="Times New Roman" w:cs="Times New Roman"/>
              </w:rPr>
              <w:t>(w kontekście)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5617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6884DBEC"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4D378F"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5931EE"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D4E26"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2.4.5 – Wiele </w:t>
            </w:r>
            <w:r w:rsidR="001702A9">
              <w:rPr>
                <w:rFonts w:ascii="Times New Roman" w:hAnsi="Times New Roman" w:cs="Times New Roman"/>
              </w:rPr>
              <w:t>dróg</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C0E14"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391C3CF4" w14:textId="77777777" w:rsidTr="00F11050">
        <w:trPr>
          <w:trHeight w:val="203"/>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F5D196"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765411"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3CB38"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2.4.6 – Nagłówki i etykiety</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180247"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7BCEFC56" w14:textId="77777777" w:rsidTr="00F11050">
        <w:trPr>
          <w:trHeight w:val="298"/>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5B2A58"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74334E"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E12029"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2.4.7 – Widoczny fokus</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BA327"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477291B8" w14:textId="77777777" w:rsidTr="00F11050">
        <w:trPr>
          <w:trHeight w:val="298"/>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EB36208" w14:textId="77777777" w:rsidR="00B96B43" w:rsidRPr="00570C83" w:rsidRDefault="00B96B43" w:rsidP="00D620E6">
            <w:pPr>
              <w:spacing w:after="0"/>
              <w:rPr>
                <w:rFonts w:ascii="Times New Roman" w:hAnsi="Times New Roman" w:cs="Times New Roman"/>
              </w:rPr>
            </w:pP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2C4B13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2.5 – </w:t>
            </w:r>
            <w:r w:rsidR="001702A9">
              <w:rPr>
                <w:rFonts w:ascii="Times New Roman" w:hAnsi="Times New Roman" w:cs="Times New Roman"/>
              </w:rPr>
              <w:t>Metody obsługi</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ED02CF4"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2.5.1 – Gesty dotykowe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596487"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549D763E" w14:textId="77777777" w:rsidTr="00F11050">
        <w:trPr>
          <w:trHeight w:val="298"/>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14D114B"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49D2EBB"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D169686"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2.5.2 – Rezygnacja ze wskazania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6995D4F"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0C9F51E2" w14:textId="77777777" w:rsidTr="00F11050">
        <w:trPr>
          <w:trHeight w:val="298"/>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7CDFA7F"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40FA909"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7D4A26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2.5.3 – Etykieta w nazwie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3660A2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1EB4D62C" w14:textId="77777777" w:rsidTr="00F11050">
        <w:trPr>
          <w:trHeight w:val="298"/>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714FFED"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BAB031C"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AA3251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2.5.4 – Aktywowanie ruchem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FD3782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09F7BADF" w14:textId="77777777" w:rsidTr="00F11050">
        <w:trPr>
          <w:trHeight w:val="234"/>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89086A"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lastRenderedPageBreak/>
              <w:t>3 – Zrozumiałość</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614875A"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3.1 – Możliwość odczytania</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94E0E"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3.1.1 – Język strony</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54381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3F793E87" w14:textId="77777777" w:rsidTr="00F11050">
        <w:trPr>
          <w:trHeight w:val="170"/>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C8B68E"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10529B"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DE93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3.1.2 – Język części</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299655"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2E44D075" w14:textId="77777777" w:rsidTr="00F11050">
        <w:trPr>
          <w:trHeight w:val="220"/>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60A06E" w14:textId="77777777" w:rsidR="00B96B43" w:rsidRPr="00570C83" w:rsidRDefault="00B96B43" w:rsidP="00D620E6">
            <w:pPr>
              <w:spacing w:after="0"/>
              <w:rPr>
                <w:rFonts w:ascii="Times New Roman" w:hAnsi="Times New Roman" w:cs="Times New Roman"/>
              </w:rPr>
            </w:pP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F7583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3.2 – Przewidywalność</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F9E3A"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3.2.1 – Po </w:t>
            </w:r>
            <w:r w:rsidR="001702A9">
              <w:rPr>
                <w:rFonts w:ascii="Times New Roman" w:hAnsi="Times New Roman" w:cs="Times New Roman"/>
              </w:rPr>
              <w:t>otrzymaniu fokusu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60118"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027A4359"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FDF112"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160DD7"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1DC3D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3.2.2 – Podczas wprowadzania danych</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EE63E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7B08ABE7"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765EF0"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24DA1C"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02223"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3.2.3 – </w:t>
            </w:r>
            <w:r w:rsidR="001702A9">
              <w:rPr>
                <w:rFonts w:ascii="Times New Roman" w:hAnsi="Times New Roman" w:cs="Times New Roman"/>
              </w:rPr>
              <w:t>Spójn</w:t>
            </w:r>
            <w:r w:rsidR="001702A9" w:rsidRPr="00570C83">
              <w:rPr>
                <w:rFonts w:ascii="Times New Roman" w:hAnsi="Times New Roman" w:cs="Times New Roman"/>
              </w:rPr>
              <w:t xml:space="preserve">a </w:t>
            </w:r>
            <w:r w:rsidRPr="00570C83">
              <w:rPr>
                <w:rFonts w:ascii="Times New Roman" w:hAnsi="Times New Roman" w:cs="Times New Roman"/>
              </w:rPr>
              <w:t>nawigacja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BA7AE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70CF75BC"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B7B688"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E22B64"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A766B5"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3.2.4 – </w:t>
            </w:r>
            <w:r w:rsidR="001702A9">
              <w:rPr>
                <w:rFonts w:ascii="Times New Roman" w:hAnsi="Times New Roman" w:cs="Times New Roman"/>
              </w:rPr>
              <w:t>Spójna</w:t>
            </w:r>
            <w:r w:rsidR="001702A9" w:rsidRPr="00570C83">
              <w:rPr>
                <w:rFonts w:ascii="Times New Roman" w:hAnsi="Times New Roman" w:cs="Times New Roman"/>
              </w:rPr>
              <w:t xml:space="preserve"> </w:t>
            </w:r>
            <w:r w:rsidRPr="00570C83">
              <w:rPr>
                <w:rFonts w:ascii="Times New Roman" w:hAnsi="Times New Roman" w:cs="Times New Roman"/>
              </w:rPr>
              <w:t>identyfikacja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1BFD40"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04D000FB"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E4A64E" w14:textId="77777777" w:rsidR="00B96B43" w:rsidRPr="00570C83" w:rsidRDefault="00B96B43" w:rsidP="00D620E6">
            <w:pPr>
              <w:spacing w:after="0"/>
              <w:rPr>
                <w:rFonts w:ascii="Times New Roman" w:hAnsi="Times New Roman" w:cs="Times New Roman"/>
              </w:rPr>
            </w:pP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BCCE5AA"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3.3 – Pomoc przy wprowadzaniu informacji</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9370BE"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3.3.1 – Identyfikacja błędu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8F587"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7C3B4455" w14:textId="77777777" w:rsidTr="00F11050">
        <w:trPr>
          <w:trHeight w:val="228"/>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C254DB"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3E2DD3"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0D07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3.3.2 – Etykiety lub instrukcje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96241"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37E8F164"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B9604D"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B02158"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C0FB9"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3.3.3 – Sugestie korekty błędów</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F4157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790CD32A" w14:textId="77777777" w:rsidTr="00F11050">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815DC5"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F7439B"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E960A7"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3.3.4 – Zapobieganie błędom (</w:t>
            </w:r>
            <w:r w:rsidR="001702A9">
              <w:rPr>
                <w:rFonts w:ascii="Times New Roman" w:hAnsi="Times New Roman" w:cs="Times New Roman"/>
              </w:rPr>
              <w:t>prawnym</w:t>
            </w:r>
            <w:r w:rsidRPr="00570C83">
              <w:rPr>
                <w:rFonts w:ascii="Times New Roman" w:hAnsi="Times New Roman" w:cs="Times New Roman"/>
              </w:rPr>
              <w:t>, finansowy</w:t>
            </w:r>
            <w:r w:rsidR="001702A9">
              <w:rPr>
                <w:rFonts w:ascii="Times New Roman" w:hAnsi="Times New Roman" w:cs="Times New Roman"/>
              </w:rPr>
              <w:t>m</w:t>
            </w:r>
            <w:r w:rsidRPr="00570C83">
              <w:rPr>
                <w:rFonts w:ascii="Times New Roman" w:hAnsi="Times New Roman" w:cs="Times New Roman"/>
              </w:rPr>
              <w:t xml:space="preserve">, </w:t>
            </w:r>
            <w:r w:rsidR="001702A9">
              <w:rPr>
                <w:rFonts w:ascii="Times New Roman" w:hAnsi="Times New Roman" w:cs="Times New Roman"/>
              </w:rPr>
              <w:t xml:space="preserve">w </w:t>
            </w:r>
            <w:r w:rsidRPr="00570C83">
              <w:rPr>
                <w:rFonts w:ascii="Times New Roman" w:hAnsi="Times New Roman" w:cs="Times New Roman"/>
              </w:rPr>
              <w:t>danych)</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2DF495"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r w:rsidR="00B96B43" w:rsidRPr="00570C83" w14:paraId="023FB067" w14:textId="77777777" w:rsidTr="00F11050">
        <w:trPr>
          <w:trHeight w:val="278"/>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0DE6B1"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4 – Kompatybilność</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C581EFE"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4.1 – Kompatybilność</w:t>
            </w: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9D88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 xml:space="preserve">4.1.1 – </w:t>
            </w:r>
            <w:r w:rsidR="001702A9">
              <w:rPr>
                <w:rFonts w:ascii="Times New Roman" w:hAnsi="Times New Roman" w:cs="Times New Roman"/>
              </w:rPr>
              <w:t>Poprawność kodu</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E3ABB9"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4EE3D69B" w14:textId="77777777" w:rsidTr="00F11050">
        <w:trPr>
          <w:trHeight w:val="342"/>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5F0AE0"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311AB4"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DA4861"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4.1.2 – Nazwa, rola, wartość</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1774AC"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w:t>
            </w:r>
          </w:p>
        </w:tc>
      </w:tr>
      <w:tr w:rsidR="00B96B43" w:rsidRPr="00570C83" w14:paraId="35E84663" w14:textId="77777777" w:rsidTr="00F11050">
        <w:trPr>
          <w:trHeight w:val="342"/>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ACD659" w14:textId="77777777" w:rsidR="00B96B43" w:rsidRPr="00570C83" w:rsidRDefault="00B96B43" w:rsidP="00D620E6">
            <w:pPr>
              <w:spacing w:after="0"/>
              <w:rPr>
                <w:rFonts w:ascii="Times New Roman" w:hAnsi="Times New Roman" w:cs="Times New Roman"/>
              </w:rPr>
            </w:pP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2A7C63D" w14:textId="77777777" w:rsidR="00B96B43" w:rsidRPr="00570C83" w:rsidRDefault="00B96B43" w:rsidP="00D620E6">
            <w:pPr>
              <w:spacing w:after="0"/>
              <w:rPr>
                <w:rFonts w:ascii="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96CC497"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4.1.3 – Komunikaty o stanie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CBE91B2" w14:textId="77777777" w:rsidR="00B96B43" w:rsidRPr="00570C83" w:rsidRDefault="00B96B43" w:rsidP="00D620E6">
            <w:pPr>
              <w:spacing w:after="0"/>
              <w:rPr>
                <w:rFonts w:ascii="Times New Roman" w:hAnsi="Times New Roman" w:cs="Times New Roman"/>
              </w:rPr>
            </w:pPr>
            <w:r w:rsidRPr="00570C83">
              <w:rPr>
                <w:rFonts w:ascii="Times New Roman" w:hAnsi="Times New Roman" w:cs="Times New Roman"/>
              </w:rPr>
              <w:t>AA</w:t>
            </w:r>
          </w:p>
        </w:tc>
      </w:tr>
    </w:tbl>
    <w:p w14:paraId="2AE10D06" w14:textId="77777777" w:rsidR="00B96B43" w:rsidRPr="00570C83" w:rsidRDefault="00B96B43" w:rsidP="00B96B43">
      <w:pPr>
        <w:rPr>
          <w:rFonts w:ascii="Times New Roman" w:hAnsi="Times New Roman" w:cs="Times New Roman"/>
        </w:rPr>
      </w:pPr>
    </w:p>
    <w:p w14:paraId="16BD567B" w14:textId="77777777" w:rsidR="001F23D6" w:rsidRDefault="001F23D6">
      <w:pPr>
        <w:spacing w:after="0" w:line="360" w:lineRule="auto"/>
        <w:rPr>
          <w:rFonts w:ascii="Times New Roman" w:eastAsia="Times New Roman" w:hAnsi="Times New Roman" w:cs="Times New Roman"/>
          <w:b/>
          <w:bCs/>
          <w:caps/>
          <w:spacing w:val="54"/>
          <w:kern w:val="24"/>
          <w:sz w:val="24"/>
          <w:szCs w:val="24"/>
          <w:lang w:eastAsia="pl-PL"/>
        </w:rPr>
      </w:pPr>
      <w:r>
        <w:rPr>
          <w:rFonts w:ascii="Times New Roman" w:eastAsia="Times New Roman" w:hAnsi="Times New Roman" w:cs="Times New Roman"/>
          <w:b/>
          <w:bCs/>
          <w:caps/>
          <w:spacing w:val="54"/>
          <w:kern w:val="24"/>
          <w:sz w:val="24"/>
          <w:szCs w:val="24"/>
          <w:lang w:eastAsia="pl-PL"/>
        </w:rPr>
        <w:br w:type="page"/>
      </w:r>
    </w:p>
    <w:p w14:paraId="78AB621B" w14:textId="77777777" w:rsidR="00C63D79" w:rsidRPr="00346AFC" w:rsidRDefault="00C63D79" w:rsidP="00C63D79">
      <w:pPr>
        <w:pStyle w:val="OZNRODZAKTUtznustawalubrozporzdzenieiorganwydajcy"/>
        <w:rPr>
          <w:rFonts w:ascii="Times New Roman" w:hAnsi="Times New Roman"/>
        </w:rPr>
      </w:pPr>
      <w:r w:rsidRPr="00346AFC">
        <w:rPr>
          <w:rFonts w:ascii="Times New Roman" w:hAnsi="Times New Roman"/>
        </w:rPr>
        <w:lastRenderedPageBreak/>
        <w:t>UZASADNIENIE</w:t>
      </w:r>
    </w:p>
    <w:p w14:paraId="61DF9334" w14:textId="77777777" w:rsidR="00C63D79" w:rsidRDefault="00C63D79" w:rsidP="00C63D79">
      <w:pPr>
        <w:pStyle w:val="NIEARTTEKSTtekstnieartykuowanynppodstprawnarozplubpreambua"/>
      </w:pPr>
      <w:r>
        <w:t xml:space="preserve">Konieczność nowelizacji ustawy z dnia 4 kwietnia 2019 r. o dostępności cyfrowej stron internetowych i aplikacji mobilnych podmiotów publicznych (Dz. U. poz. 848), zwanej dalej „ustawą” wynika z doświadczeń płynących z </w:t>
      </w:r>
      <w:r w:rsidR="00FC3058">
        <w:t>dwuletniego</w:t>
      </w:r>
      <w:r>
        <w:t xml:space="preserve"> obowiązywania obecnych przepisów oraz przyczyn zewnętrznych (polskie</w:t>
      </w:r>
      <w:r w:rsidR="0029797F">
        <w:t>,</w:t>
      </w:r>
      <w:r>
        <w:t xml:space="preserve"> oficjalne tłumaczenia standardu WCAG 2.1).</w:t>
      </w:r>
    </w:p>
    <w:p w14:paraId="591F1339" w14:textId="77777777" w:rsidR="005E767C" w:rsidRPr="005E767C" w:rsidRDefault="005E767C" w:rsidP="005E767C">
      <w:pPr>
        <w:pStyle w:val="ARTartustawynprozporzdzenia"/>
      </w:pPr>
      <w:r>
        <w:t>Mając na uwadze powyższe w projekcie ustawy przewidziano poniższe zmiany.</w:t>
      </w:r>
    </w:p>
    <w:p w14:paraId="183149AD" w14:textId="77777777" w:rsidR="00C63D79" w:rsidRDefault="00C63D79" w:rsidP="00C63D79">
      <w:pPr>
        <w:pStyle w:val="NIEARTTEKSTtekstnieartykuowanynppodstprawnarozplubpreambua"/>
      </w:pPr>
      <w:r w:rsidRPr="006F2529">
        <w:t>Art. 3 ust</w:t>
      </w:r>
      <w:r w:rsidR="005248BD">
        <w:t>.</w:t>
      </w:r>
      <w:r w:rsidRPr="006F2529">
        <w:t xml:space="preserve"> 2 pkt 3a </w:t>
      </w:r>
      <w:r w:rsidR="00DE282E" w:rsidRPr="00DE282E">
        <w:t>–</w:t>
      </w:r>
      <w:r w:rsidR="0029797F">
        <w:t xml:space="preserve"> </w:t>
      </w:r>
      <w:r w:rsidR="005E767C">
        <w:t>s</w:t>
      </w:r>
      <w:r w:rsidRPr="006F2529">
        <w:t>ystemy zarządzania treścią publikowaną na stronach internetowych (CMS) mają format, który zgodnie z definicją zawartą w art. 4 pkt 10 ustawy powodowa</w:t>
      </w:r>
      <w:r w:rsidR="0029797F">
        <w:t>łby uznanie ich</w:t>
      </w:r>
      <w:r w:rsidRPr="006F2529">
        <w:t xml:space="preserve"> za „stron</w:t>
      </w:r>
      <w:r w:rsidR="0029797F">
        <w:t>y internetowe</w:t>
      </w:r>
      <w:r w:rsidRPr="006F2529">
        <w:t>”</w:t>
      </w:r>
      <w:r>
        <w:t xml:space="preserve"> lub „aplikacj</w:t>
      </w:r>
      <w:r w:rsidR="0029797F">
        <w:t>e</w:t>
      </w:r>
      <w:r>
        <w:t xml:space="preserve"> internetow</w:t>
      </w:r>
      <w:r w:rsidR="0029797F">
        <w:t>e</w:t>
      </w:r>
      <w:r>
        <w:t>”</w:t>
      </w:r>
      <w:r w:rsidRPr="006F2529">
        <w:t xml:space="preserve">. W większości najbardziej rozpowszechnionych systemów zarządzania treścią (np. </w:t>
      </w:r>
      <w:proofErr w:type="spellStart"/>
      <w:r w:rsidRPr="006F2529">
        <w:t>Wordpress</w:t>
      </w:r>
      <w:proofErr w:type="spellEnd"/>
      <w:r w:rsidRPr="006F2529">
        <w:t xml:space="preserve">, </w:t>
      </w:r>
      <w:proofErr w:type="spellStart"/>
      <w:r w:rsidRPr="006F2529">
        <w:t>Joomla</w:t>
      </w:r>
      <w:proofErr w:type="spellEnd"/>
      <w:r w:rsidRPr="006F2529">
        <w:t>) użytkownicy nie mają możliwości dostosowywania samych edytorów treści i dlatego należy je wyłączyć z</w:t>
      </w:r>
      <w:r w:rsidR="00D93096">
        <w:t> </w:t>
      </w:r>
      <w:r w:rsidRPr="006F2529">
        <w:t>zakresu przedmiotowego ustawy.</w:t>
      </w:r>
    </w:p>
    <w:p w14:paraId="35E42EC4" w14:textId="77777777" w:rsidR="00C63D79" w:rsidRDefault="00C63D79" w:rsidP="00C63D79">
      <w:pPr>
        <w:pStyle w:val="NIEARTTEKSTtekstnieartykuowanynppodstprawnarozplubpreambua"/>
      </w:pPr>
      <w:r w:rsidRPr="006F2529">
        <w:t>Art. 3 ust. 2 pkt 5 lit</w:t>
      </w:r>
      <w:r>
        <w:t>.</w:t>
      </w:r>
      <w:r w:rsidRPr="006F2529">
        <w:t xml:space="preserve"> a </w:t>
      </w:r>
      <w:r w:rsidR="00DE282E" w:rsidRPr="00DE282E">
        <w:t>–</w:t>
      </w:r>
      <w:r w:rsidRPr="006F2529">
        <w:t xml:space="preserve"> </w:t>
      </w:r>
      <w:r w:rsidR="005E767C">
        <w:t>w katalogu</w:t>
      </w:r>
      <w:r w:rsidRPr="006F2529">
        <w:t xml:space="preserve"> </w:t>
      </w:r>
      <w:proofErr w:type="spellStart"/>
      <w:r w:rsidRPr="006F2529">
        <w:t>wyłącze</w:t>
      </w:r>
      <w:r w:rsidR="005E767C">
        <w:t>ń</w:t>
      </w:r>
      <w:proofErr w:type="spellEnd"/>
      <w:r w:rsidRPr="006F2529">
        <w:t xml:space="preserve"> konieczne jest doprecyzowanie, że jeśli publikowane treści pochodzą od innego podmiotu, ale ich powstanie zostało sfinansowane przez podmiot publiczny, to nie podlegają one wyłączeniu. </w:t>
      </w:r>
    </w:p>
    <w:p w14:paraId="0DE2E288" w14:textId="77777777" w:rsidR="00C63D79" w:rsidRDefault="00C63D79" w:rsidP="00C63D79">
      <w:pPr>
        <w:pStyle w:val="NIEARTTEKSTtekstnieartykuowanynppodstprawnarozplubpreambua"/>
      </w:pPr>
      <w:r>
        <w:t xml:space="preserve">Art. 3 ust. 2 pkt 9 </w:t>
      </w:r>
      <w:r w:rsidR="00DE282E" w:rsidRPr="00DE282E">
        <w:t>–</w:t>
      </w:r>
      <w:r>
        <w:t xml:space="preserve"> </w:t>
      </w:r>
      <w:r w:rsidR="005E767C">
        <w:t>n</w:t>
      </w:r>
      <w:r>
        <w:t xml:space="preserve">iektóre podmioty publiczne tworzą gry komputerowe i publikują je na stronach internetowych. </w:t>
      </w:r>
      <w:r w:rsidR="00FC3058">
        <w:t xml:space="preserve">Zapewnienie dostępności cyfrowej gier komputerowych jest bardzo trudne, a w wielu przypadkach niemożliwe. </w:t>
      </w:r>
      <w:r>
        <w:t>Nałożenie obowiązku zachowania dostępności cyfrowej takich gier mogłoby prowadzić do usunięcia gier ze stron internetowych, co prowadziłoby do zubożenia oferty tych podmiotów publicznych dla użytkowników Internetu, którymi w tym przypadku są dzieci i młodzież. Dlatego należy wyłączyć gry z zakresu przedmiotowego ustawy.</w:t>
      </w:r>
    </w:p>
    <w:p w14:paraId="54194044" w14:textId="77777777" w:rsidR="00C63D79" w:rsidRDefault="00C63D79" w:rsidP="00C63D79">
      <w:pPr>
        <w:pStyle w:val="NIEARTTEKSTtekstnieartykuowanynppodstprawnarozplubpreambua"/>
      </w:pPr>
      <w:r w:rsidRPr="00E15119">
        <w:t xml:space="preserve">Art. 3 </w:t>
      </w:r>
      <w:r>
        <w:t xml:space="preserve">ust. 2 pkt 10 </w:t>
      </w:r>
      <w:r w:rsidR="00DE282E" w:rsidRPr="00DE282E">
        <w:t>–</w:t>
      </w:r>
      <w:r>
        <w:t xml:space="preserve"> </w:t>
      </w:r>
      <w:r w:rsidR="005E767C">
        <w:t>r</w:t>
      </w:r>
      <w:r>
        <w:t>óżnego rodzaju dokumentacje techniczne, przede wszystkim te</w:t>
      </w:r>
      <w:r w:rsidR="005E767C">
        <w:t xml:space="preserve"> tworzone w</w:t>
      </w:r>
      <w:r>
        <w:t xml:space="preserve"> wyspecjalizowanych programach</w:t>
      </w:r>
      <w:r w:rsidR="005E767C">
        <w:t>,</w:t>
      </w:r>
      <w:r>
        <w:t xml:space="preserve"> są często bardzo złożone i skomplikowane. Nie jest obecnie możliwe, przy racjonalnym nakładzie środków, zapewnienie skutecznej alternatywy umożliwiającej na przykład osobie niewidomej skorzystanie ze schematów urządzeń elektronicznych. Takie schematy są często elementami dokumentacji</w:t>
      </w:r>
      <w:r w:rsidR="0029797F">
        <w:t>,</w:t>
      </w:r>
      <w:r>
        <w:t xml:space="preserve"> na przykład w</w:t>
      </w:r>
      <w:r w:rsidR="00D93096">
        <w:t> </w:t>
      </w:r>
      <w:r>
        <w:t>postępowaniach przetargowych, które są publikowane na stronach internetowych i dla których ważna jest pewność poprawnego przygotowania ca</w:t>
      </w:r>
      <w:r w:rsidR="0029797F">
        <w:t>łości dokumentów. Wyłączenie schematów dokumentacji technicznej</w:t>
      </w:r>
      <w:r>
        <w:t xml:space="preserve"> z zakresu przedmiotowego pozwoli na uniknięcie </w:t>
      </w:r>
      <w:r>
        <w:lastRenderedPageBreak/>
        <w:t>wątpliwości co do tego, w jakim zakresie konieczne jest zapewnienie dostępności cyfrowej dla dokumentów, w których dostępność cyfrowa jest bardzo trudna do zapewnienia.</w:t>
      </w:r>
    </w:p>
    <w:p w14:paraId="67C347C5" w14:textId="77777777" w:rsidR="00C63D79" w:rsidRDefault="00C63D79" w:rsidP="00C63D79">
      <w:pPr>
        <w:pStyle w:val="NIEARTTEKSTtekstnieartykuowanynppodstprawnarozplubpreambua"/>
      </w:pPr>
      <w:r>
        <w:t xml:space="preserve">Art. 3 ust. 3 </w:t>
      </w:r>
      <w:r w:rsidR="00DE282E" w:rsidRPr="00DE282E">
        <w:t>–</w:t>
      </w:r>
      <w:r>
        <w:t xml:space="preserve"> </w:t>
      </w:r>
      <w:r w:rsidR="005E767C">
        <w:t>p</w:t>
      </w:r>
      <w:r>
        <w:t>rzepis dotyczący wyłączenia stron archiwalnych jest niezbędny, gdyż chodzi o nienakładanie na podmioty publiczne obowiązku dostosowywania do przepisów ustawy stron zawierających jedynie treści archiwalne sprzed 23 września 2019 r. Dotychczasowe przepisy, choć wyłączały spod przepisów ustawy elementy takich stron internetowych, to jednak same strony nadal podlegały przepisom i konieczne było dodawanie do nich na przykład deklaracji dostępności czy dostępnych cyfrowo systemów nawigacji.</w:t>
      </w:r>
    </w:p>
    <w:p w14:paraId="60BA650E" w14:textId="77777777" w:rsidR="00C63D79" w:rsidRDefault="00C63D79" w:rsidP="00C63D79">
      <w:pPr>
        <w:pStyle w:val="NIEARTTEKSTtekstnieartykuowanynppodstprawnarozplubpreambua"/>
      </w:pPr>
      <w:r>
        <w:t>Art. 5 ust</w:t>
      </w:r>
      <w:r w:rsidR="00DE282E">
        <w:t>.</w:t>
      </w:r>
      <w:r>
        <w:t xml:space="preserve"> 1 </w:t>
      </w:r>
      <w:r w:rsidR="00DE282E" w:rsidRPr="00DE282E">
        <w:t>–</w:t>
      </w:r>
      <w:r w:rsidR="0029797F">
        <w:t xml:space="preserve"> </w:t>
      </w:r>
      <w:r w:rsidR="005E767C">
        <w:t>k</w:t>
      </w:r>
      <w:r>
        <w:t xml:space="preserve">onieczne jest rozróżnienie sposobu zapewniania dostępności cyfrowej różnych elementów objętych obowiązkiem zapewnienia dostępności cyfrowej. </w:t>
      </w:r>
    </w:p>
    <w:p w14:paraId="69C3B0CF" w14:textId="77777777" w:rsidR="00C63D79" w:rsidRDefault="00C63D79" w:rsidP="00C63D79">
      <w:pPr>
        <w:pStyle w:val="NIEARTTEKSTtekstnieartykuowanynppodstprawnarozplubpreambua"/>
      </w:pPr>
      <w:r>
        <w:t>Art. 5 ust</w:t>
      </w:r>
      <w:r w:rsidR="00DE282E">
        <w:t>.</w:t>
      </w:r>
      <w:r>
        <w:t xml:space="preserve"> 1 pkt 1 </w:t>
      </w:r>
      <w:r w:rsidR="00DE282E" w:rsidRPr="00DE282E">
        <w:t>–</w:t>
      </w:r>
      <w:r w:rsidR="0029797F">
        <w:t xml:space="preserve"> </w:t>
      </w:r>
      <w:r w:rsidR="005E767C">
        <w:t>n</w:t>
      </w:r>
      <w:r>
        <w:t>owe brzmienie przepisu wprowadza jednoznac</w:t>
      </w:r>
      <w:r w:rsidR="0029797F">
        <w:t>znie dodatkowy</w:t>
      </w:r>
      <w:r>
        <w:t xml:space="preserve"> obowiązek zapewnienia dostępności cyfrowej wszelkich publikowanych treści</w:t>
      </w:r>
      <w:r w:rsidR="00426964">
        <w:t xml:space="preserve"> na stronach internetowych</w:t>
      </w:r>
      <w:r w:rsidR="00CC64CD">
        <w:t xml:space="preserve"> (elementów stron internetowych)</w:t>
      </w:r>
      <w:r>
        <w:t xml:space="preserve">. Obowiązek ten był potraktowany </w:t>
      </w:r>
      <w:r w:rsidR="00426964">
        <w:t xml:space="preserve">jako </w:t>
      </w:r>
      <w:r>
        <w:t xml:space="preserve">istniejący niejako </w:t>
      </w:r>
      <w:r w:rsidR="005E767C">
        <w:t>domyślnie</w:t>
      </w:r>
      <w:r>
        <w:t>, o czym mówił art. 6, lecz obowiązek zapewnienia dostępności cyfrowej był nałożony wprost jedynie na strony internetowe i aplikacje mobilne.</w:t>
      </w:r>
    </w:p>
    <w:p w14:paraId="1362F687" w14:textId="0616D263" w:rsidR="00C63D79" w:rsidRDefault="00C63D79" w:rsidP="00C63D79">
      <w:pPr>
        <w:pStyle w:val="NIEARTTEKSTtekstnieartykuowanynppodstprawnarozplubpreambua"/>
      </w:pPr>
      <w:r>
        <w:t>Art. 5 ust</w:t>
      </w:r>
      <w:r w:rsidR="00DE282E">
        <w:t>.</w:t>
      </w:r>
      <w:r>
        <w:t xml:space="preserve"> 1 pkt 2 </w:t>
      </w:r>
      <w:r w:rsidR="00DE282E" w:rsidRPr="00DE282E">
        <w:t>–</w:t>
      </w:r>
      <w:r w:rsidR="0029797F">
        <w:t xml:space="preserve"> </w:t>
      </w:r>
      <w:r w:rsidR="00456184">
        <w:t>z</w:t>
      </w:r>
      <w:r>
        <w:t>apewnienie dostępności cyfrowej aplikacji mobilnych zgodnie z</w:t>
      </w:r>
      <w:r w:rsidR="0074240B">
        <w:t> </w:t>
      </w:r>
      <w:r>
        <w:t xml:space="preserve">wymaganiami zawartymi w </w:t>
      </w:r>
      <w:r w:rsidR="005E767C">
        <w:t>z</w:t>
      </w:r>
      <w:r>
        <w:t xml:space="preserve">ałączniku nie jest możliwe dla wszystkich kryteriów sukcesu. Mówi o tym wprost norma europejska </w:t>
      </w:r>
      <w:r w:rsidRPr="008F1BBA">
        <w:t>EN 301 549 V2.1.2.</w:t>
      </w:r>
      <w:r>
        <w:t xml:space="preserve"> Nie jest konieczne spełnienie wszystkich kryteriów sukcesu, gdyż niektóre z nich (wymienione w </w:t>
      </w:r>
      <w:r w:rsidR="00E973FB">
        <w:t>lit.</w:t>
      </w:r>
      <w:r>
        <w:t xml:space="preserve"> a</w:t>
      </w:r>
      <w:r w:rsidR="00E973FB">
        <w:t>-</w:t>
      </w:r>
      <w:r>
        <w:t>g</w:t>
      </w:r>
      <w:r w:rsidR="00B16C32">
        <w:t xml:space="preserve"> omawianego przepisu</w:t>
      </w:r>
      <w:r>
        <w:t xml:space="preserve">) dotyczą jedynie stron internetowych. </w:t>
      </w:r>
    </w:p>
    <w:p w14:paraId="56986026" w14:textId="77777777" w:rsidR="006749DF" w:rsidRPr="006749DF" w:rsidRDefault="00C63D79" w:rsidP="006749DF">
      <w:pPr>
        <w:pStyle w:val="NIEARTTEKSTtekstnieartykuowanynppodstprawnarozplubpreambua"/>
      </w:pPr>
      <w:r w:rsidRPr="008F1BBA">
        <w:t>Art. 5 ust</w:t>
      </w:r>
      <w:r w:rsidR="00DE282E">
        <w:t>.</w:t>
      </w:r>
      <w:r w:rsidRPr="008F1BBA">
        <w:t xml:space="preserve"> 1</w:t>
      </w:r>
      <w:r>
        <w:t xml:space="preserve">a </w:t>
      </w:r>
      <w:r w:rsidR="00DE282E" w:rsidRPr="00DE282E">
        <w:t>–</w:t>
      </w:r>
      <w:r w:rsidR="0029797F">
        <w:t xml:space="preserve"> </w:t>
      </w:r>
      <w:r w:rsidR="006749DF" w:rsidRPr="006749DF">
        <w:t xml:space="preserve">praktyka wdrażania ustawy pokazała, że konieczne jest wyróżnienie wśród stron internetowych szczególnego ich rodzaju, tzn. aplikacji internetowych. Te rozwiązania są często obłożone różnorodnymi warunkami i licencjami, które utrudniają lub uniemożliwiają ingerencję w część prezentacyjną treści bądź uniemożliwiają publikowanie różnych treści, takich jak deklaracja dostępności. Konieczne jest więc </w:t>
      </w:r>
      <w:r w:rsidR="006749DF">
        <w:t>uwzględnienie aplikacji internetowych</w:t>
      </w:r>
      <w:r w:rsidR="006749DF" w:rsidRPr="006749DF">
        <w:t xml:space="preserve"> i złagodzenie obowiązku zapewnienia dostępności cyfrowej i publikacji deklaracji dostępności jedynie do sytuacji, gdy jest to możliwe. Określenie „zidentyfikowany użytkownik” nie odnosi się wyłącznie do sytuacji wymagających logowania. Sposoby identyfikacji mogą być bowiem różne w zależności od aplikacji internetowej. Zawiera się w tym także identyfikacja na podstawie logów systemowych, numeru IP czy danych identyfikacyjnych wprowadzonych przez użytkownika, niebędących danymi logowania.</w:t>
      </w:r>
    </w:p>
    <w:p w14:paraId="2EAD7A1B" w14:textId="590D6BDC" w:rsidR="00C63D79" w:rsidRDefault="006749DF" w:rsidP="00C63D79">
      <w:pPr>
        <w:pStyle w:val="NIEARTTEKSTtekstnieartykuowanynppodstprawnarozplubpreambua"/>
      </w:pPr>
      <w:r>
        <w:lastRenderedPageBreak/>
        <w:t>A</w:t>
      </w:r>
      <w:r w:rsidR="00C63D79">
        <w:t>plikacje internetowe mogą mieć szczególny status w podmiocie publicznym i</w:t>
      </w:r>
      <w:r w:rsidR="0074240B">
        <w:t> </w:t>
      </w:r>
      <w:r w:rsidR="00C63D79">
        <w:t>zapewnienie ich dostępnośc</w:t>
      </w:r>
      <w:r w:rsidR="0029797F">
        <w:t>i cyfrowej może nie być możliwe. D</w:t>
      </w:r>
      <w:r w:rsidR="00C63D79">
        <w:t>latego trzeba zaznaczyć warunkowość obowiązku odnoszącego się do stron internetowych. Przykładem takiej sytuacji mogą być rozwiązania wewnętrzne</w:t>
      </w:r>
      <w:r w:rsidR="00DA3689">
        <w:t>,</w:t>
      </w:r>
      <w:r w:rsidR="00C63D79">
        <w:t xml:space="preserve"> zawierające uwarunkowania licencyjne lub niedające możliwości ingerencji w zawartość</w:t>
      </w:r>
      <w:r w:rsidR="001F4DDB">
        <w:t xml:space="preserve">, </w:t>
      </w:r>
      <w:r w:rsidR="0018368E">
        <w:t>np.</w:t>
      </w:r>
      <w:r w:rsidR="00C63D79">
        <w:t xml:space="preserve"> powszechnie stosowane przez szkoły narzędzia dzienników elektronicznych.</w:t>
      </w:r>
    </w:p>
    <w:p w14:paraId="503231A7" w14:textId="77777777" w:rsidR="00890017" w:rsidRPr="00890017" w:rsidRDefault="00890017" w:rsidP="007925DF">
      <w:pPr>
        <w:pStyle w:val="ARTartustawynprozporzdzenia"/>
      </w:pPr>
      <w:r>
        <w:t xml:space="preserve">Brak możliwości zapewnienia dostępności cyfrowej może </w:t>
      </w:r>
      <w:r w:rsidR="00DA3689">
        <w:t>w</w:t>
      </w:r>
      <w:r>
        <w:t xml:space="preserve">ynikać z dwóch podstawowych przyczyn. Pierwszą z nich są uwarunkowania technologiczne, przez co należy rozumieć przede wszystkim brak możliwości modyfikacji kodu oprogramowania będącego podstawą aplikacji internetowej. Może to wynikać </w:t>
      </w:r>
      <w:r w:rsidR="007925DF">
        <w:t xml:space="preserve">z faktu, że oprogramowanie to zostało wytworzone przez podmiot zewnętrzny. </w:t>
      </w:r>
      <w:r w:rsidR="00DA3689">
        <w:t>Drugą z nich jest</w:t>
      </w:r>
      <w:r w:rsidR="007925DF">
        <w:t xml:space="preserve"> przyczy</w:t>
      </w:r>
      <w:r w:rsidR="00DA3689">
        <w:t>na prawna</w:t>
      </w:r>
      <w:r w:rsidR="007925DF">
        <w:t>, na przykład uwarunkowa</w:t>
      </w:r>
      <w:r w:rsidR="00DA3689">
        <w:t>nia licencyjne zakazujące</w:t>
      </w:r>
      <w:r w:rsidR="007925DF">
        <w:t xml:space="preserve"> jakiejkolwiek ingerencji w kod. W żadnym razie przyczyną uznania braku możliwości, zgodnie z motywem 39 dyrektywy nie może </w:t>
      </w:r>
      <w:r w:rsidR="00A8063A">
        <w:t xml:space="preserve">być </w:t>
      </w:r>
      <w:proofErr w:type="spellStart"/>
      <w:r w:rsidR="007925DF">
        <w:rPr>
          <w:color w:val="000000"/>
          <w:shd w:val="clear" w:color="auto" w:fill="FFFFFF"/>
        </w:rPr>
        <w:t>niepriorytetowe</w:t>
      </w:r>
      <w:proofErr w:type="spellEnd"/>
      <w:r w:rsidR="007925DF">
        <w:rPr>
          <w:color w:val="000000"/>
          <w:shd w:val="clear" w:color="auto" w:fill="FFFFFF"/>
        </w:rPr>
        <w:t xml:space="preserve"> traktowanie działań prowadzących do zapewnienia dost</w:t>
      </w:r>
      <w:r w:rsidR="00DA3689">
        <w:rPr>
          <w:color w:val="000000"/>
          <w:shd w:val="clear" w:color="auto" w:fill="FFFFFF"/>
        </w:rPr>
        <w:t>ępności cyfrowej, brak czasu oraz</w:t>
      </w:r>
      <w:r w:rsidR="007925DF">
        <w:rPr>
          <w:color w:val="000000"/>
          <w:shd w:val="clear" w:color="auto" w:fill="FFFFFF"/>
        </w:rPr>
        <w:t xml:space="preserve"> brak wiedzy w tej dziedzinie.</w:t>
      </w:r>
    </w:p>
    <w:p w14:paraId="30A7B753" w14:textId="77777777" w:rsidR="00C63D79" w:rsidRDefault="00C63D79" w:rsidP="00C63D79">
      <w:pPr>
        <w:pStyle w:val="NIEARTTEKSTtekstnieartykuowanynppodstprawnarozplubpreambua"/>
      </w:pPr>
      <w:r>
        <w:t xml:space="preserve">Art. 5 ust. 1b </w:t>
      </w:r>
      <w:r w:rsidR="00DE282E" w:rsidRPr="00DE282E">
        <w:t>–</w:t>
      </w:r>
      <w:r>
        <w:t xml:space="preserve"> </w:t>
      </w:r>
      <w:r w:rsidR="00456184">
        <w:t>u</w:t>
      </w:r>
      <w:r>
        <w:t xml:space="preserve">stawa wyłącza z zakresu przedmiotowego multimedia nadawane na żywo. Niektóre podmioty publiczne są zobowiązane do publikowania na swoich stronach relacji na żywo, np. z posiedzeń rad, po czym nagrania pozostają na stronie i zaczynają być objęte przepisami. Oczywistym jest, że potrzeba czasu na przygotowanie napisów czy </w:t>
      </w:r>
      <w:proofErr w:type="spellStart"/>
      <w:r>
        <w:t>audiodeskrypcji</w:t>
      </w:r>
      <w:proofErr w:type="spellEnd"/>
      <w:r>
        <w:t>. Mot</w:t>
      </w:r>
      <w:r w:rsidR="00794D17">
        <w:t>yw 27 d</w:t>
      </w:r>
      <w:r>
        <w:t>yrektywy Parlamentu Europejskiego i Rady (UE) 2016/2102 z</w:t>
      </w:r>
      <w:r w:rsidR="00D93096">
        <w:t> </w:t>
      </w:r>
      <w:r>
        <w:t xml:space="preserve">dnia 26 października 2016 r. w sprawie dostępności stron internetowych i mobilnych aplikacji organów sektora publicznego </w:t>
      </w:r>
      <w:r w:rsidR="00DA43AB" w:rsidRPr="00DA43AB">
        <w:t>(Dz. Urz.</w:t>
      </w:r>
      <w:r w:rsidR="00DA43AB">
        <w:t xml:space="preserve"> UE L 327 z 02.12.2016, str. 1) </w:t>
      </w:r>
      <w:r w:rsidR="00794D17">
        <w:t>stanowi</w:t>
      </w:r>
      <w:r>
        <w:t xml:space="preserve"> w takim przypadku o </w:t>
      </w:r>
      <w:r w:rsidR="00456184">
        <w:t xml:space="preserve">terminie </w:t>
      </w:r>
      <w:r>
        <w:t>14</w:t>
      </w:r>
      <w:r w:rsidR="00456184">
        <w:t>-</w:t>
      </w:r>
      <w:r>
        <w:t>dni</w:t>
      </w:r>
      <w:r w:rsidR="00456184">
        <w:t>owym</w:t>
      </w:r>
      <w:r>
        <w:t xml:space="preserve">, </w:t>
      </w:r>
      <w:r w:rsidR="00456184">
        <w:t>o który należy również uzupełnić</w:t>
      </w:r>
      <w:r>
        <w:t xml:space="preserve"> przepis</w:t>
      </w:r>
      <w:r w:rsidR="00456184">
        <w:t>y</w:t>
      </w:r>
      <w:r>
        <w:t xml:space="preserve"> ustawy.</w:t>
      </w:r>
    </w:p>
    <w:p w14:paraId="2D30B4F5" w14:textId="72CF9E51" w:rsidR="007121C4" w:rsidRPr="007121C4" w:rsidRDefault="007121C4" w:rsidP="007121C4">
      <w:pPr>
        <w:pStyle w:val="ARTartustawynprozporzdzenia"/>
      </w:pPr>
      <w:r>
        <w:t xml:space="preserve">Art. 5 ust. 3 – </w:t>
      </w:r>
      <w:r w:rsidRPr="007121C4">
        <w:t xml:space="preserve">Zmiana polega na </w:t>
      </w:r>
      <w:r w:rsidR="003C68D1">
        <w:t>wskazaniu</w:t>
      </w:r>
      <w:r w:rsidR="00512EFF">
        <w:t xml:space="preserve"> </w:t>
      </w:r>
      <w:r w:rsidR="003C68D1">
        <w:t>nowego</w:t>
      </w:r>
      <w:r w:rsidR="00512EFF">
        <w:t xml:space="preserve"> </w:t>
      </w:r>
      <w:r w:rsidR="003C68D1">
        <w:t>numeru</w:t>
      </w:r>
      <w:r w:rsidR="00512EFF">
        <w:t xml:space="preserve"> wersji </w:t>
      </w:r>
      <w:r w:rsidRPr="007121C4">
        <w:t>nazwy normy unijnej, na którą powołuje się przepis</w:t>
      </w:r>
      <w:r w:rsidR="00512EFF">
        <w:t xml:space="preserve"> oraz dodaniu</w:t>
      </w:r>
      <w:r w:rsidR="003C68D1">
        <w:t xml:space="preserve"> zwrotu</w:t>
      </w:r>
      <w:r w:rsidR="00512EFF">
        <w:t xml:space="preserve"> </w:t>
      </w:r>
      <w:r w:rsidR="003C68D1">
        <w:t>„</w:t>
      </w:r>
      <w:r w:rsidR="003C68D1" w:rsidRPr="003C68D1">
        <w:t>a w przypadku wydania nowszej wersji tej normy zgodnie z tą wersją</w:t>
      </w:r>
      <w:r w:rsidR="003C68D1">
        <w:t>”</w:t>
      </w:r>
      <w:r w:rsidRPr="007121C4">
        <w:t xml:space="preserve">. </w:t>
      </w:r>
      <w:r w:rsidR="003C68D1">
        <w:t xml:space="preserve">Propozycja ta </w:t>
      </w:r>
      <w:r w:rsidRPr="007121C4">
        <w:t>oznacza, że</w:t>
      </w:r>
      <w:r w:rsidR="003C68D1" w:rsidRPr="003C68D1">
        <w:rPr>
          <w:rFonts w:ascii="Times New Roman" w:eastAsia="Times New Roman" w:hAnsi="Times New Roman" w:cs="Times New Roman"/>
          <w:color w:val="000000"/>
          <w:sz w:val="20"/>
        </w:rPr>
        <w:t xml:space="preserve"> </w:t>
      </w:r>
      <w:r w:rsidR="003C68D1">
        <w:t>p</w:t>
      </w:r>
      <w:r w:rsidR="003C68D1" w:rsidRPr="003C68D1">
        <w:t>odmioty publiczne zapewniają</w:t>
      </w:r>
      <w:r w:rsidR="003C68D1">
        <w:t>c</w:t>
      </w:r>
      <w:r w:rsidR="003C68D1" w:rsidRPr="003C68D1">
        <w:t xml:space="preserve"> dostępność cyfrową </w:t>
      </w:r>
      <w:r w:rsidR="003C68D1">
        <w:t>będą</w:t>
      </w:r>
      <w:r w:rsidRPr="007121C4">
        <w:t xml:space="preserve"> </w:t>
      </w:r>
      <w:r w:rsidR="003C68D1">
        <w:t>musiały</w:t>
      </w:r>
      <w:r w:rsidRPr="007121C4">
        <w:t xml:space="preserve"> brać pod uwagę ostatnią, najnowszą obowiązującą wersję</w:t>
      </w:r>
      <w:r w:rsidR="003C68D1">
        <w:t xml:space="preserve"> normy</w:t>
      </w:r>
      <w:r w:rsidRPr="007121C4">
        <w:t>, co jednocześnie zlikwiduje konieczność nowelizacji ustawy za każdym razem, w</w:t>
      </w:r>
      <w:r w:rsidR="0074240B">
        <w:t> </w:t>
      </w:r>
      <w:r w:rsidRPr="007121C4">
        <w:t>przypadku zmiany wersji normy.</w:t>
      </w:r>
    </w:p>
    <w:p w14:paraId="409AF19F" w14:textId="77777777" w:rsidR="00C63D79" w:rsidRDefault="00C63D79" w:rsidP="00C63D79">
      <w:pPr>
        <w:pStyle w:val="NIEARTTEKSTtekstnieartykuowanynppodstprawnarozplubpreambua"/>
      </w:pPr>
      <w:r>
        <w:t xml:space="preserve">Art. 8 w ust. 2 </w:t>
      </w:r>
      <w:r w:rsidR="00DE282E" w:rsidRPr="00DE282E">
        <w:t>–</w:t>
      </w:r>
      <w:r>
        <w:t xml:space="preserve"> </w:t>
      </w:r>
      <w:r w:rsidR="00456184">
        <w:t>o</w:t>
      </w:r>
      <w:r>
        <w:t xml:space="preserve">becny przepis art. 8 </w:t>
      </w:r>
      <w:r w:rsidR="00456184">
        <w:t>wydaje się być</w:t>
      </w:r>
      <w:r>
        <w:t xml:space="preserve"> jednoznaczny, jednak wiele osób błędnie go interpretuje, nie łącząc przepisu zawartego w ust. 2 z przepisem zawartym w ust. 1 i rozumiejąc ust. 2 jako samodzielny przepis. Powoduje to powstawanie przekonania o tym, </w:t>
      </w:r>
      <w:r>
        <w:lastRenderedPageBreak/>
        <w:t>że jedynie elementy wymienione w ust. 2 powinny być dostępne cyfrowo na stronie internetowej. Tych błędnych interpretacji jest na tyle dużo, że niezbędnym jest podkreślenie, że przepisy zawarte w ust. 2 muszą być rozumiane jedynie w kontekście przepisu ust. 1.</w:t>
      </w:r>
    </w:p>
    <w:p w14:paraId="133439B4" w14:textId="77777777" w:rsidR="00C63D79" w:rsidRDefault="00C63D79" w:rsidP="00C63D79">
      <w:pPr>
        <w:pStyle w:val="NIEARTTEKSTtekstnieartykuowanynppodstprawnarozplubpreambua"/>
      </w:pPr>
      <w:r>
        <w:t xml:space="preserve">Konieczne jest również usunięcie obowiązku bezwzględnego zachowania dostępności cyfrowej elementów wskazanych w art. 8 ust. 2 pkt 2 dla aplikacji mobilnych, gdyż </w:t>
      </w:r>
      <w:r w:rsidR="00443A27">
        <w:t>nie ma to technicznego</w:t>
      </w:r>
      <w:r>
        <w:t xml:space="preserve"> </w:t>
      </w:r>
      <w:r w:rsidR="00443A27">
        <w:t>uzasadnienia</w:t>
      </w:r>
      <w:r>
        <w:t>.</w:t>
      </w:r>
    </w:p>
    <w:p w14:paraId="5596792B" w14:textId="77777777" w:rsidR="00C63D79" w:rsidRDefault="00C63D79" w:rsidP="00C63D79">
      <w:pPr>
        <w:pStyle w:val="NIEARTTEKSTtekstnieartykuowanynppodstprawnarozplubpreambua"/>
      </w:pPr>
      <w:r>
        <w:t xml:space="preserve">Art. 10 w ust. 1 </w:t>
      </w:r>
      <w:r w:rsidR="00DE282E" w:rsidRPr="00DE282E">
        <w:t>–</w:t>
      </w:r>
      <w:r>
        <w:t xml:space="preserve"> </w:t>
      </w:r>
      <w:r w:rsidR="00456184">
        <w:t>o</w:t>
      </w:r>
      <w:r>
        <w:t>d początku obowiązywania ustawy wraca pytanie o język, w którym ma być opublikowana deklaracja dostępności. Niezbędne jest więc wskazanie, że deklaracja dostępności powinna być opublikowana w tym samym języku co strona</w:t>
      </w:r>
      <w:r w:rsidR="008462B6">
        <w:t xml:space="preserve"> lub aplikacja</w:t>
      </w:r>
      <w:r>
        <w:t>, do której się odnosi, gdyż jest to dokument skierowany przede wszystkim do użytkowników danej strony internetowej</w:t>
      </w:r>
      <w:r w:rsidR="008462B6">
        <w:t xml:space="preserve"> lub aplikacji mobilnej</w:t>
      </w:r>
      <w:r>
        <w:t>.</w:t>
      </w:r>
    </w:p>
    <w:p w14:paraId="08B34B1B" w14:textId="77777777" w:rsidR="00C63D79" w:rsidRDefault="00C63D79" w:rsidP="00C63D79">
      <w:pPr>
        <w:pStyle w:val="NIEARTTEKSTtekstnieartykuowanynppodstprawnarozplubpreambua"/>
      </w:pPr>
      <w:r>
        <w:t xml:space="preserve">Art. 10 w ust. 4 pkt 4 </w:t>
      </w:r>
      <w:r w:rsidR="00DE282E" w:rsidRPr="00DE282E">
        <w:t>–</w:t>
      </w:r>
      <w:r>
        <w:t xml:space="preserve"> </w:t>
      </w:r>
      <w:r w:rsidR="00456184">
        <w:t>d</w:t>
      </w:r>
      <w:r>
        <w:t xml:space="preserve">eklaracja dostępności musi zawierać dane kontaktowe. Ustawa </w:t>
      </w:r>
      <w:r w:rsidR="00456184">
        <w:t>w dotychczasowym brzmieniu zawiera</w:t>
      </w:r>
      <w:r>
        <w:t xml:space="preserve"> przepis wymagający wskazanie konkretnej osoby odpowiedzialnej za dostępność cyfrową. To rozwiązanie okazało się nieodpowiednie dla niektórych podmiotów, w których za ten temat odpowiada cała komórka organizacyjna, czy zespół. Stąd konieczność zmiany umożliwiającej wskazanie zarówno osoby, jak i komórki organizacyjnej.</w:t>
      </w:r>
    </w:p>
    <w:p w14:paraId="6154EE2C" w14:textId="77777777" w:rsidR="00C63D79" w:rsidRDefault="00C63D79" w:rsidP="00C63D79">
      <w:pPr>
        <w:pStyle w:val="NIEARTTEKSTtekstnieartykuowanynppodstprawnarozplubpreambua"/>
      </w:pPr>
      <w:r>
        <w:t xml:space="preserve">Art. 10 w ust. 4 pkt 8 </w:t>
      </w:r>
      <w:r w:rsidR="00DE282E" w:rsidRPr="00DE282E">
        <w:t>–</w:t>
      </w:r>
      <w:r>
        <w:t xml:space="preserve"> </w:t>
      </w:r>
      <w:r w:rsidR="00D1120E">
        <w:t>o</w:t>
      </w:r>
      <w:r>
        <w:t>bowiązek podania linku do deklaracji dostępności aplikacji mobilnej nakładany jest na podmiot publiczny publikujący deklarację dostępności strony internetowej, dzięki czemu można uniknąć konieczności publikowania linku do deklaracji dostępności aplikacji mobilnej w tej deklaracji dostępności.</w:t>
      </w:r>
    </w:p>
    <w:p w14:paraId="12420400" w14:textId="77777777" w:rsidR="00C63D79" w:rsidRDefault="00C63D79" w:rsidP="00C63D79">
      <w:pPr>
        <w:pStyle w:val="NIEARTTEKSTtekstnieartykuowanynppodstprawnarozplubpreambua"/>
      </w:pPr>
      <w:r>
        <w:t xml:space="preserve">Art. 10 w ust. 7 pkt 1 – </w:t>
      </w:r>
      <w:r w:rsidR="00D1120E">
        <w:t>p</w:t>
      </w:r>
      <w:r>
        <w:t xml:space="preserve">odmioty publiczne nie miały pewności czy są zobowiązane do publikowania deklaracji dostępności również dla stron internetowych, których nie są właścicielami, w związku z tym </w:t>
      </w:r>
      <w:r w:rsidR="00D1120E">
        <w:t>zostało to w projekcie</w:t>
      </w:r>
      <w:r>
        <w:t xml:space="preserve"> </w:t>
      </w:r>
      <w:r w:rsidR="00D1120E">
        <w:t>do</w:t>
      </w:r>
      <w:r>
        <w:t xml:space="preserve">precyzowane. </w:t>
      </w:r>
    </w:p>
    <w:p w14:paraId="09A02AB4" w14:textId="77777777" w:rsidR="00C63D79" w:rsidRDefault="00C63D79" w:rsidP="00C63D79">
      <w:pPr>
        <w:pStyle w:val="NIEARTTEKSTtekstnieartykuowanynppodstprawnarozplubpreambua"/>
      </w:pPr>
      <w:r>
        <w:t xml:space="preserve">Art. 10 w ust. 7 pkt 2 – </w:t>
      </w:r>
      <w:r w:rsidR="00D1120E">
        <w:t>z</w:t>
      </w:r>
      <w:r>
        <w:t>e względu na pojawiające się wątpliwości zostaje sprecyzowane, że deklaracja dostępności dotyczy posiadanych przez podmiot aplikacji mobilnych. Ponadto w</w:t>
      </w:r>
      <w:r w:rsidR="003912A1">
        <w:t> </w:t>
      </w:r>
      <w:r>
        <w:t xml:space="preserve">związku z możliwością powołania się na nadmierne obciążenie, o którym mowa w art. 8 ust. 1 konieczne jest umożliwienie wyłączenia na tej podstawie obowiązku dodawania deklaracji dostępności w aplikacji mobilnej. Intencją tego przepisu jest nienakładanie na podmioty publiczne obowiązku poniesienia wysokich kosztów, które łączyłyby się z koniecznością przebudowy już istniejących (przed 23 czerwca 2021 r.) </w:t>
      </w:r>
      <w:r>
        <w:lastRenderedPageBreak/>
        <w:t>aplikacji mobilnych. Wprowadzanie zmian w aplikacji mobilnej jest zazwyczaj o wiele bardziej skomplikowane i pracochłonne od wprowadzenia zmian na stronie internetowej, a w niektórych przypadkach może być praktycznie niemożliwe.</w:t>
      </w:r>
    </w:p>
    <w:p w14:paraId="44C5F9FF" w14:textId="65E68A7F" w:rsidR="00901793" w:rsidRPr="00901793" w:rsidRDefault="00E445E6" w:rsidP="00901793">
      <w:pPr>
        <w:pStyle w:val="ARTartustawynprozporzdzenia"/>
      </w:pPr>
      <w:r>
        <w:t>A</w:t>
      </w:r>
      <w:r w:rsidRPr="00E445E6">
        <w:t>rt. 26</w:t>
      </w:r>
      <w:r w:rsidR="005A5326">
        <w:t xml:space="preserve"> </w:t>
      </w:r>
      <w:r w:rsidR="0021149F">
        <w:t>–</w:t>
      </w:r>
      <w:r w:rsidR="005A5326">
        <w:t xml:space="preserve"> </w:t>
      </w:r>
      <w:r w:rsidR="0074240B">
        <w:t xml:space="preserve">zakłada </w:t>
      </w:r>
      <w:r w:rsidR="0021149F">
        <w:t xml:space="preserve">wydłużenie czasu obowiązywania przepisów </w:t>
      </w:r>
      <w:r w:rsidR="0021149F" w:rsidRPr="0021149F">
        <w:t>wykonawcz</w:t>
      </w:r>
      <w:r w:rsidR="0021149F">
        <w:t>ych</w:t>
      </w:r>
      <w:r w:rsidR="0021149F" w:rsidRPr="0021149F">
        <w:t xml:space="preserve"> wydan</w:t>
      </w:r>
      <w:r w:rsidR="0021149F">
        <w:t>ych</w:t>
      </w:r>
      <w:r w:rsidR="0021149F" w:rsidRPr="0021149F">
        <w:t xml:space="preserve"> na podstawie art. 18 ustawy z dnia 17 lutego 2005 r. </w:t>
      </w:r>
      <w:r w:rsidR="0021149F" w:rsidRPr="007165C6">
        <w:rPr>
          <w:rStyle w:val="Kkursywa"/>
        </w:rPr>
        <w:t>o informatyzacji działalności podmiotów realizujących zadania publiczne</w:t>
      </w:r>
      <w:r w:rsidR="0021149F" w:rsidRPr="0021149F">
        <w:t xml:space="preserve"> (Dz.</w:t>
      </w:r>
      <w:r w:rsidR="007165C6">
        <w:t xml:space="preserve"> </w:t>
      </w:r>
      <w:r w:rsidR="0021149F" w:rsidRPr="0021149F">
        <w:t xml:space="preserve">U. z 2021 r. poz. 670, z </w:t>
      </w:r>
      <w:proofErr w:type="spellStart"/>
      <w:r w:rsidR="0021149F" w:rsidRPr="0021149F">
        <w:t>późn</w:t>
      </w:r>
      <w:proofErr w:type="spellEnd"/>
      <w:r w:rsidR="0021149F" w:rsidRPr="0021149F">
        <w:t>. zm.)</w:t>
      </w:r>
      <w:r w:rsidR="0021149F">
        <w:t>, dalej jako „ustawa o</w:t>
      </w:r>
      <w:r w:rsidR="0074240B">
        <w:t> </w:t>
      </w:r>
      <w:r w:rsidR="0021149F">
        <w:t xml:space="preserve">informatyzacji” - tj. </w:t>
      </w:r>
      <w:r w:rsidR="0021149F" w:rsidRPr="0036710F">
        <w:t>rozporządzenia Rady Ministrów z dnia 12 kwietnia 2012 r</w:t>
      </w:r>
      <w:r w:rsidR="0021149F" w:rsidRPr="007165C6">
        <w:rPr>
          <w:rStyle w:val="Kkursywa"/>
        </w:rPr>
        <w:t>. w sprawie Krajowych Ram Interoperacyjności, minimalnych wymagań dla rejestrów publicznych i</w:t>
      </w:r>
      <w:r w:rsidR="0074240B">
        <w:rPr>
          <w:rStyle w:val="Kkursywa"/>
        </w:rPr>
        <w:t> </w:t>
      </w:r>
      <w:r w:rsidR="0021149F" w:rsidRPr="007165C6">
        <w:rPr>
          <w:rStyle w:val="Kkursywa"/>
        </w:rPr>
        <w:t>wymiany informacji w postaci elektronicznej oraz minimalnych wymagań dla systemów teleinformatycznych</w:t>
      </w:r>
      <w:r w:rsidR="0021149F" w:rsidRPr="0021149F">
        <w:t xml:space="preserve"> (Dz.</w:t>
      </w:r>
      <w:r w:rsidR="007165C6">
        <w:t xml:space="preserve"> </w:t>
      </w:r>
      <w:r w:rsidR="0021149F" w:rsidRPr="0021149F">
        <w:t>U. z 2017 r. poz. 2247)</w:t>
      </w:r>
      <w:r w:rsidR="0067162B">
        <w:t>, dalej jako „</w:t>
      </w:r>
      <w:r w:rsidR="0067162B" w:rsidRPr="0067162B">
        <w:t>rozporządzeni</w:t>
      </w:r>
      <w:r w:rsidR="0067162B">
        <w:t>e</w:t>
      </w:r>
      <w:r w:rsidR="0067162B" w:rsidRPr="0067162B">
        <w:t xml:space="preserve"> KRI</w:t>
      </w:r>
      <w:r w:rsidR="0067162B">
        <w:t>”</w:t>
      </w:r>
      <w:r w:rsidR="0021149F">
        <w:t xml:space="preserve"> - jest podyktowane prowadzeniem prac nad nowelizacją ustawy o informatyzacji.</w:t>
      </w:r>
      <w:r w:rsidR="0067162B">
        <w:t xml:space="preserve"> </w:t>
      </w:r>
      <w:r w:rsidR="0067162B" w:rsidRPr="0067162B">
        <w:t>W toku prac zidentyfikowane zostały obszary, które powinny zostać uregulowane w nowym rozporządzeniu. Wskazać tutaj należy przede wszystkim na planowane uregulowanie w</w:t>
      </w:r>
      <w:r w:rsidR="0074240B">
        <w:t> </w:t>
      </w:r>
      <w:r w:rsidR="0067162B" w:rsidRPr="0067162B">
        <w:t>rozporządzeniu KRI kwestii dotyczących sposobów osiągania interoperacyjności prawnej, architektury systemów teleinformatycznych podmiotów realizujących zadania publiczne, czy budowy usług online oraz wykorzystania katalogów administracji publicznej. Z tego względu zasadne jest teraz czasowe przedłużenie obowiązywania rozporządzenia</w:t>
      </w:r>
      <w:r w:rsidR="007165C6">
        <w:t xml:space="preserve"> KRI</w:t>
      </w:r>
      <w:r w:rsidR="0067162B" w:rsidRPr="0067162B">
        <w:t>, a dopiero po wejściu w życie zmian ustawowych - wydanie nowego rozporządzenia</w:t>
      </w:r>
      <w:r w:rsidR="00DA00BC">
        <w:t>. R</w:t>
      </w:r>
      <w:r w:rsidR="00DA00BC" w:rsidRPr="00DA00BC">
        <w:t>ozpoczęcie prac nad nowym rozporządzeniem KRI w oparciu o dotychczasową podstawę prawną rodzi ryzyko wydania rozporządzenia w oparciu o art. 18 ustawy o informatyzacji, który może ulec zmianie po wejściu w życie znowelizowanych przepisów ustawy o informatyzacji. W związku z</w:t>
      </w:r>
      <w:r w:rsidR="0074240B">
        <w:t> </w:t>
      </w:r>
      <w:r w:rsidR="00DA00BC" w:rsidRPr="00DA00BC">
        <w:t>powyższym przyjęto założenie, że priorytetem jest opracowanie przepisów ustawowych, a</w:t>
      </w:r>
      <w:r w:rsidR="0074240B">
        <w:t> </w:t>
      </w:r>
      <w:r w:rsidR="00DA00BC" w:rsidRPr="00DA00BC">
        <w:t>następnie - w oparciu o nie - przepisów rozporządzenia.</w:t>
      </w:r>
      <w:r w:rsidR="00DA00BC">
        <w:t xml:space="preserve"> </w:t>
      </w:r>
      <w:r w:rsidR="00901793" w:rsidRPr="00901793">
        <w:t>Z tego względu wydłużono o kolejne 36 miesięcy czas obowiązywania przepisów wykonawczych wydanych na podstawie art. 18 ustawy o informatyzacji, czyli rozporządzenia KRI.</w:t>
      </w:r>
    </w:p>
    <w:p w14:paraId="7D9266F5" w14:textId="5EA3CD63" w:rsidR="00C63D79" w:rsidRDefault="00C63D79" w:rsidP="00901793">
      <w:pPr>
        <w:pStyle w:val="ARTartustawynprozporzdzenia"/>
      </w:pPr>
      <w:r>
        <w:t xml:space="preserve">Załącznik do ustawy </w:t>
      </w:r>
      <w:r w:rsidR="00DE282E" w:rsidRPr="00DE282E">
        <w:t>–</w:t>
      </w:r>
      <w:r>
        <w:t xml:space="preserve"> </w:t>
      </w:r>
      <w:r w:rsidR="0074240B">
        <w:t>p</w:t>
      </w:r>
      <w:r>
        <w:t>od koniec 2020 roku opublikowane zostało oficjalne, polskie tłumaczenie standardu WCAG 2.1 (</w:t>
      </w:r>
      <w:r w:rsidR="008462B6" w:rsidRPr="008462B6">
        <w:t>https://www.w3.org/Translations/WCAG21-pl/</w:t>
      </w:r>
      <w:r w:rsidR="008462B6">
        <w:t xml:space="preserve">). </w:t>
      </w:r>
      <w:r>
        <w:t>Załącznik do ustawy ma być odwzorowaniem wymaganych do spełnienia kryteriów zawartych w tym standardzie. Podczas tworzenia ustawy w 2018 roku nie było jeszcze oficjalnego tłumaczenia</w:t>
      </w:r>
      <w:r w:rsidR="008462B6">
        <w:t>,</w:t>
      </w:r>
      <w:r>
        <w:t xml:space="preserve"> więc niektóre elementy standardu zawarte w załączniku miały inne brzmienie niż to, które ostatecznie zostało przyjęte. Nowa tabela załącznika do ustawy jest spójna z</w:t>
      </w:r>
      <w:r w:rsidR="003912A1">
        <w:t> </w:t>
      </w:r>
      <w:r>
        <w:t>tłumaczeniem.</w:t>
      </w:r>
    </w:p>
    <w:p w14:paraId="7484C9B3" w14:textId="77777777" w:rsidR="00C63D79" w:rsidRDefault="00C63D79" w:rsidP="00C63D79">
      <w:pPr>
        <w:pStyle w:val="NIEARTTEKSTtekstnieartykuowanynppodstprawnarozplubpreambua"/>
      </w:pPr>
      <w:r>
        <w:lastRenderedPageBreak/>
        <w:t>Projektowana ustawa nie zawiera przepisów technicznych w rozumieniu rozporządzenia Rady Ministrów z dnia 23 grudnia 2002 r. w sprawie sposobu funkcjonowania krajowego systemu notyfikacji norm i aktów prawnych (Dz. U. poz. 2039</w:t>
      </w:r>
      <w:r w:rsidR="00D76CE5">
        <w:t xml:space="preserve"> oraz z 2004 r. poz. 539</w:t>
      </w:r>
      <w:r>
        <w:t>), w</w:t>
      </w:r>
      <w:r w:rsidR="00D76CE5">
        <w:t> </w:t>
      </w:r>
      <w:r>
        <w:t>związku z czym nie podlega notyfikacji zgodnie z ww. przepisami.</w:t>
      </w:r>
    </w:p>
    <w:p w14:paraId="253ACC3E" w14:textId="77777777" w:rsidR="00C63D79" w:rsidRDefault="00C63D79" w:rsidP="00C63D79">
      <w:pPr>
        <w:pStyle w:val="NIEARTTEKSTtekstnieartykuowanynppodstprawnarozplubpreambua"/>
      </w:pPr>
      <w:r>
        <w:t>Przedmiot projektowanej regulacji jest zgodny z prawem Unii Europejskiej.</w:t>
      </w:r>
    </w:p>
    <w:p w14:paraId="5BBA35DF" w14:textId="77777777" w:rsidR="00C63D79" w:rsidRDefault="00C63D79" w:rsidP="00C63D79">
      <w:pPr>
        <w:pStyle w:val="NIEARTTEKSTtekstnieartykuowanynppodstprawnarozplubpreambua"/>
      </w:pPr>
      <w:r>
        <w:t xml:space="preserve">Projekt ustawy nie wymaga przedstawienia właściwym organom i instytucjom Unii Europejskiej, w tym Europejskiemu Bankowi Centralnemu, w celu uzyskania opinii, dokonania powiadomienia, konsultacji albo uzgodnienia, o których mowa w § 39 uchwały nr 190 Rady Ministrów z dnia 29 października 2013 r. – Regulamin pracy Rady Ministrów (M.P. z 2016 r. poz. 1006, z </w:t>
      </w:r>
      <w:proofErr w:type="spellStart"/>
      <w:r>
        <w:t>późn</w:t>
      </w:r>
      <w:proofErr w:type="spellEnd"/>
      <w:r>
        <w:t>. zm.).</w:t>
      </w:r>
    </w:p>
    <w:p w14:paraId="11B19391" w14:textId="77777777" w:rsidR="00C63D79" w:rsidRDefault="00C63D79" w:rsidP="00C63D79">
      <w:pPr>
        <w:pStyle w:val="NIEARTTEKSTtekstnieartykuowanynppodstprawnarozplubpreambua"/>
      </w:pPr>
      <w:r>
        <w:t xml:space="preserve">Wejście w życie projektowanej ustawy nie będzie miało wpływu na konkurencyjność gospodarki i przedsiębiorczość, w tym funkcjonowanie przedsiębiorców, a zwłaszcza </w:t>
      </w:r>
      <w:proofErr w:type="spellStart"/>
      <w:r>
        <w:t>mikroprzedsiębiorców</w:t>
      </w:r>
      <w:proofErr w:type="spellEnd"/>
      <w:r>
        <w:t>, małych i średnich przedsiębiorców</w:t>
      </w:r>
      <w:r w:rsidR="003912A1">
        <w:t>.</w:t>
      </w:r>
    </w:p>
    <w:p w14:paraId="6476D633" w14:textId="3229801D" w:rsidR="00E72DC5" w:rsidRDefault="00C63D79" w:rsidP="00E72DC5">
      <w:pPr>
        <w:pStyle w:val="NIEARTTEKSTtekstnieartykuowanynppodstprawnarozplubpreambua"/>
      </w:pPr>
      <w:r>
        <w:t xml:space="preserve">Stosownie do art. 5 ustawy z dnia 7 lipca 2005 r. o działalności lobbingowej w procesie stanowienia prawa (Dz. U. z 2017 r. poz. 248) oraz art. 52 § 1 uchwały </w:t>
      </w:r>
      <w:r w:rsidR="003912A1">
        <w:t>n</w:t>
      </w:r>
      <w:r>
        <w:t xml:space="preserve">r 190 Rady Ministrów z </w:t>
      </w:r>
      <w:r w:rsidR="003912A1">
        <w:t xml:space="preserve">dnia </w:t>
      </w:r>
      <w:r>
        <w:t xml:space="preserve">29 października 2013 r. </w:t>
      </w:r>
      <w:r w:rsidR="003912A1">
        <w:t xml:space="preserve">– </w:t>
      </w:r>
      <w:r>
        <w:t>Regulamin</w:t>
      </w:r>
      <w:r w:rsidR="003912A1">
        <w:t xml:space="preserve"> </w:t>
      </w:r>
      <w:r>
        <w:t>pracy Rady Ministrów projekt ustawy zosta</w:t>
      </w:r>
      <w:r w:rsidR="007E49BF">
        <w:t>ł</w:t>
      </w:r>
      <w:r>
        <w:t xml:space="preserve"> udostępniony w Biuletynie Informacji Publicznej Rządowego Centrum Legislacji w serwisie Rządowy Proces Legislacyjny.</w:t>
      </w:r>
      <w:r w:rsidR="00E72DC5" w:rsidRPr="00E72DC5">
        <w:t xml:space="preserve"> </w:t>
      </w:r>
    </w:p>
    <w:p w14:paraId="3E044908" w14:textId="77777777" w:rsidR="002C62BF" w:rsidRPr="002C62BF" w:rsidRDefault="00E72DC5" w:rsidP="002C62BF">
      <w:pPr>
        <w:pStyle w:val="NIEARTTEKSTtekstnieartykuowanynppodstprawnarozplubpreambua"/>
      </w:pPr>
      <w:r w:rsidRPr="00E72DC5">
        <w:t>Ustawa wejdzie w</w:t>
      </w:r>
      <w:r w:rsidR="002C62BF" w:rsidRPr="002C62BF">
        <w:t xml:space="preserve"> życie po upływie 30 dni od dnia ogłoszenia.</w:t>
      </w:r>
    </w:p>
    <w:p w14:paraId="45727DF7" w14:textId="77777777" w:rsidR="00216BD4" w:rsidRDefault="00E72DC5" w:rsidP="00E72DC5">
      <w:pPr>
        <w:pStyle w:val="NIEARTTEKSTtekstnieartykuowanynppodstprawnarozplubpreambua"/>
      </w:pPr>
      <w:r w:rsidRPr="00E72DC5">
        <w:t xml:space="preserve"> </w:t>
      </w:r>
    </w:p>
    <w:p w14:paraId="54574033" w14:textId="77777777" w:rsidR="00216BD4" w:rsidRDefault="00216BD4">
      <w:pPr>
        <w:spacing w:after="0" w:line="360" w:lineRule="auto"/>
        <w:rPr>
          <w:rFonts w:ascii="Times" w:eastAsiaTheme="minorEastAsia" w:hAnsi="Times" w:cs="Arial"/>
          <w:bCs/>
          <w:sz w:val="24"/>
          <w:szCs w:val="20"/>
          <w:lang w:eastAsia="pl-PL"/>
        </w:rPr>
      </w:pPr>
      <w:r>
        <w:br w:type="page"/>
      </w:r>
    </w:p>
    <w:tbl>
      <w:tblPr>
        <w:tblW w:w="10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32"/>
      </w:tblGrid>
      <w:tr w:rsidR="00216BD4" w:rsidRPr="00216BD4" w14:paraId="4F612DC7" w14:textId="77777777" w:rsidTr="00216BD4">
        <w:trPr>
          <w:trHeight w:val="1611"/>
          <w:jc w:val="center"/>
        </w:trPr>
        <w:tc>
          <w:tcPr>
            <w:tcW w:w="6631" w:type="dxa"/>
            <w:gridSpan w:val="17"/>
            <w:shd w:val="clear" w:color="auto" w:fill="auto"/>
          </w:tcPr>
          <w:p w14:paraId="3246CBB4" w14:textId="77777777" w:rsidR="00216BD4" w:rsidRPr="00216BD4" w:rsidRDefault="00216BD4" w:rsidP="00216BD4">
            <w:pPr>
              <w:pBdr>
                <w:top w:val="nil"/>
                <w:left w:val="nil"/>
                <w:bottom w:val="nil"/>
                <w:right w:val="nil"/>
                <w:between w:val="nil"/>
              </w:pBdr>
              <w:spacing w:before="120" w:after="0" w:line="240" w:lineRule="auto"/>
              <w:ind w:hanging="45"/>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lastRenderedPageBreak/>
              <w:t>Nazwa projektu</w:t>
            </w:r>
          </w:p>
          <w:p w14:paraId="610196CC" w14:textId="77777777" w:rsidR="00216BD4" w:rsidRPr="00216BD4" w:rsidRDefault="00D96D6A" w:rsidP="00216BD4">
            <w:pPr>
              <w:pBdr>
                <w:top w:val="nil"/>
                <w:left w:val="nil"/>
                <w:bottom w:val="nil"/>
                <w:right w:val="nil"/>
                <w:between w:val="nil"/>
              </w:pBdr>
              <w:spacing w:after="0" w:line="240" w:lineRule="auto"/>
              <w:ind w:hanging="34"/>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Ustawa o</w:t>
            </w:r>
            <w:r w:rsidR="00216BD4" w:rsidRPr="00216BD4">
              <w:rPr>
                <w:rFonts w:ascii="Times New Roman" w:eastAsia="Times New Roman" w:hAnsi="Times New Roman" w:cs="Times New Roman"/>
                <w:color w:val="000000"/>
                <w:lang w:eastAsia="pl-PL"/>
              </w:rPr>
              <w:t xml:space="preserve"> zmianie ustawy o dostępności cyfrowej stron internetowych i</w:t>
            </w:r>
            <w:r w:rsidR="00D76CE5">
              <w:rPr>
                <w:rFonts w:ascii="Times New Roman" w:eastAsia="Times New Roman" w:hAnsi="Times New Roman" w:cs="Times New Roman"/>
                <w:color w:val="000000"/>
                <w:lang w:eastAsia="pl-PL"/>
              </w:rPr>
              <w:t> </w:t>
            </w:r>
            <w:r w:rsidR="00216BD4" w:rsidRPr="00216BD4">
              <w:rPr>
                <w:rFonts w:ascii="Times New Roman" w:eastAsia="Times New Roman" w:hAnsi="Times New Roman" w:cs="Times New Roman"/>
                <w:color w:val="000000"/>
                <w:lang w:eastAsia="pl-PL"/>
              </w:rPr>
              <w:t>aplikacji mobilnych podmiotów publicznych</w:t>
            </w:r>
          </w:p>
          <w:p w14:paraId="15030B38" w14:textId="77777777" w:rsidR="00216BD4" w:rsidRPr="00216BD4" w:rsidRDefault="00216BD4" w:rsidP="00216BD4">
            <w:pPr>
              <w:pBdr>
                <w:top w:val="nil"/>
                <w:left w:val="nil"/>
                <w:bottom w:val="nil"/>
                <w:right w:val="nil"/>
                <w:between w:val="nil"/>
              </w:pBdr>
              <w:spacing w:before="120" w:after="0" w:line="240" w:lineRule="auto"/>
              <w:ind w:hanging="45"/>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Ministerstwo wiodące i ministerstwa współpracujące</w:t>
            </w:r>
          </w:p>
          <w:p w14:paraId="30D22788" w14:textId="77777777" w:rsidR="00216BD4" w:rsidRPr="00216BD4" w:rsidRDefault="00216BD4" w:rsidP="00216BD4">
            <w:pPr>
              <w:pBdr>
                <w:top w:val="nil"/>
                <w:left w:val="nil"/>
                <w:bottom w:val="nil"/>
                <w:right w:val="nil"/>
                <w:between w:val="nil"/>
              </w:pBdr>
              <w:spacing w:after="0" w:line="240" w:lineRule="auto"/>
              <w:ind w:hanging="34"/>
              <w:rPr>
                <w:rFonts w:ascii="Times New Roman" w:eastAsia="Times New Roman" w:hAnsi="Times New Roman" w:cs="Times New Roman"/>
                <w:lang w:eastAsia="pl-PL"/>
              </w:rPr>
            </w:pPr>
            <w:r w:rsidRPr="00216BD4">
              <w:rPr>
                <w:rFonts w:ascii="Times New Roman" w:eastAsia="Times New Roman" w:hAnsi="Times New Roman" w:cs="Times New Roman"/>
                <w:color w:val="000000"/>
                <w:lang w:eastAsia="pl-PL"/>
              </w:rPr>
              <w:t>Kancelaria Prezesa Rady Ministrów</w:t>
            </w:r>
            <w:r w:rsidRPr="00216BD4">
              <w:rPr>
                <w:rFonts w:ascii="Times New Roman" w:eastAsia="Times New Roman" w:hAnsi="Times New Roman" w:cs="Times New Roman"/>
                <w:color w:val="000000"/>
                <w:lang w:eastAsia="pl-PL"/>
              </w:rPr>
              <w:br/>
            </w:r>
          </w:p>
          <w:p w14:paraId="09434B2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b/>
                <w:color w:val="000000"/>
                <w:sz w:val="21"/>
                <w:szCs w:val="21"/>
                <w:lang w:eastAsia="pl-PL"/>
              </w:rPr>
            </w:pPr>
            <w:r w:rsidRPr="00216BD4">
              <w:rPr>
                <w:rFonts w:ascii="Times New Roman" w:eastAsia="Times New Roman" w:hAnsi="Times New Roman" w:cs="Times New Roman"/>
                <w:b/>
                <w:color w:val="000000"/>
                <w:sz w:val="21"/>
                <w:szCs w:val="21"/>
                <w:lang w:eastAsia="pl-PL"/>
              </w:rPr>
              <w:t>Osoba odpowiedzialna za projekt w randze Ministra, Sekretarza Stanu lub Podsekretarza Stanu:</w:t>
            </w:r>
          </w:p>
          <w:p w14:paraId="75A5BF5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Janusz Cieszyński</w:t>
            </w:r>
          </w:p>
          <w:p w14:paraId="72AB9AE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     </w:t>
            </w:r>
          </w:p>
          <w:p w14:paraId="3C630981" w14:textId="77777777" w:rsidR="00216BD4" w:rsidRPr="00216BD4" w:rsidRDefault="00216BD4" w:rsidP="00216BD4">
            <w:pPr>
              <w:pBdr>
                <w:top w:val="nil"/>
                <w:left w:val="nil"/>
                <w:bottom w:val="nil"/>
                <w:right w:val="nil"/>
                <w:between w:val="nil"/>
              </w:pBdr>
              <w:spacing w:before="120" w:after="0" w:line="240" w:lineRule="auto"/>
              <w:ind w:hanging="45"/>
              <w:rPr>
                <w:rFonts w:ascii="Times New Roman" w:eastAsia="Times New Roman" w:hAnsi="Times New Roman" w:cs="Times New Roman"/>
                <w:color w:val="000000"/>
                <w:lang w:eastAsia="pl-PL"/>
              </w:rPr>
            </w:pPr>
            <w:bookmarkStart w:id="3" w:name="bookmark=id.30j0zll" w:colFirst="0" w:colLast="0"/>
            <w:bookmarkEnd w:id="3"/>
            <w:r w:rsidRPr="00216BD4">
              <w:rPr>
                <w:rFonts w:ascii="Times New Roman" w:eastAsia="Times New Roman" w:hAnsi="Times New Roman" w:cs="Times New Roman"/>
                <w:b/>
                <w:color w:val="000000"/>
                <w:lang w:eastAsia="pl-PL"/>
              </w:rPr>
              <w:t>Kontakt do opiekuna merytorycznego projektu</w:t>
            </w:r>
          </w:p>
          <w:p w14:paraId="3E707580" w14:textId="77777777" w:rsidR="00216BD4" w:rsidRPr="00216BD4" w:rsidRDefault="00216BD4" w:rsidP="00216BD4">
            <w:pPr>
              <w:pBdr>
                <w:top w:val="nil"/>
                <w:left w:val="nil"/>
                <w:bottom w:val="nil"/>
                <w:right w:val="nil"/>
                <w:between w:val="nil"/>
              </w:pBdr>
              <w:spacing w:after="0" w:line="240" w:lineRule="auto"/>
              <w:ind w:hanging="34"/>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Adam Pietrasiewicz adam.pietrasiewicz@mc.gov.pl</w:t>
            </w:r>
          </w:p>
        </w:tc>
        <w:tc>
          <w:tcPr>
            <w:tcW w:w="4316" w:type="dxa"/>
            <w:gridSpan w:val="12"/>
            <w:shd w:val="clear" w:color="auto" w:fill="FFFFFF"/>
          </w:tcPr>
          <w:p w14:paraId="7B588EF5" w14:textId="77777777" w:rsidR="00DE282E" w:rsidRDefault="00216BD4" w:rsidP="00216BD4">
            <w:pPr>
              <w:pBdr>
                <w:top w:val="nil"/>
                <w:left w:val="nil"/>
                <w:bottom w:val="nil"/>
                <w:right w:val="nil"/>
                <w:between w:val="nil"/>
              </w:pBdr>
              <w:spacing w:after="0" w:line="240" w:lineRule="auto"/>
              <w:rPr>
                <w:rFonts w:ascii="Times New Roman" w:eastAsia="Times New Roman" w:hAnsi="Times New Roman" w:cs="Times New Roman"/>
                <w:b/>
                <w:color w:val="000000"/>
                <w:sz w:val="21"/>
                <w:szCs w:val="21"/>
                <w:lang w:eastAsia="pl-PL"/>
              </w:rPr>
            </w:pPr>
            <w:r w:rsidRPr="00216BD4">
              <w:rPr>
                <w:rFonts w:ascii="Times New Roman" w:eastAsia="Times New Roman" w:hAnsi="Times New Roman" w:cs="Times New Roman"/>
                <w:b/>
                <w:color w:val="000000"/>
                <w:sz w:val="21"/>
                <w:szCs w:val="21"/>
                <w:lang w:eastAsia="pl-PL"/>
              </w:rPr>
              <w:t>Data sporządzenia</w:t>
            </w:r>
            <w:r w:rsidR="00DE282E">
              <w:rPr>
                <w:rFonts w:ascii="Times New Roman" w:eastAsia="Times New Roman" w:hAnsi="Times New Roman" w:cs="Times New Roman"/>
                <w:b/>
                <w:color w:val="000000"/>
                <w:sz w:val="21"/>
                <w:szCs w:val="21"/>
                <w:lang w:eastAsia="pl-PL"/>
              </w:rPr>
              <w:t>:</w:t>
            </w:r>
          </w:p>
          <w:p w14:paraId="0F713695" w14:textId="3FDE7BDF"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b/>
                <w:color w:val="000000"/>
                <w:sz w:val="21"/>
                <w:szCs w:val="21"/>
                <w:lang w:eastAsia="pl-PL"/>
              </w:rPr>
              <w:t xml:space="preserve"> </w:t>
            </w:r>
            <w:r w:rsidR="0074240B">
              <w:rPr>
                <w:rFonts w:ascii="Times New Roman" w:eastAsia="Times New Roman" w:hAnsi="Times New Roman" w:cs="Times New Roman"/>
                <w:b/>
                <w:color w:val="000000"/>
                <w:sz w:val="21"/>
                <w:szCs w:val="21"/>
                <w:lang w:eastAsia="pl-PL"/>
              </w:rPr>
              <w:t>2</w:t>
            </w:r>
            <w:r w:rsidR="00EC093E">
              <w:rPr>
                <w:rFonts w:ascii="Times New Roman" w:eastAsia="Times New Roman" w:hAnsi="Times New Roman" w:cs="Times New Roman"/>
                <w:b/>
                <w:color w:val="000000"/>
                <w:sz w:val="21"/>
                <w:szCs w:val="21"/>
                <w:lang w:eastAsia="pl-PL"/>
              </w:rPr>
              <w:t>5</w:t>
            </w:r>
            <w:r w:rsidR="0008654E" w:rsidRPr="00216BD4">
              <w:rPr>
                <w:rFonts w:ascii="Times New Roman" w:eastAsia="Times New Roman" w:hAnsi="Times New Roman" w:cs="Times New Roman"/>
                <w:b/>
                <w:color w:val="000000"/>
                <w:sz w:val="21"/>
                <w:szCs w:val="21"/>
                <w:lang w:eastAsia="pl-PL"/>
              </w:rPr>
              <w:t xml:space="preserve"> </w:t>
            </w:r>
            <w:r w:rsidR="00842BEB">
              <w:rPr>
                <w:rFonts w:ascii="Times New Roman" w:eastAsia="Times New Roman" w:hAnsi="Times New Roman" w:cs="Times New Roman"/>
                <w:b/>
                <w:color w:val="000000"/>
                <w:sz w:val="21"/>
                <w:szCs w:val="21"/>
                <w:lang w:eastAsia="pl-PL"/>
              </w:rPr>
              <w:t>października</w:t>
            </w:r>
            <w:r w:rsidR="00842BEB" w:rsidRPr="00216BD4">
              <w:rPr>
                <w:rFonts w:ascii="Times New Roman" w:eastAsia="Times New Roman" w:hAnsi="Times New Roman" w:cs="Times New Roman"/>
                <w:b/>
                <w:color w:val="000000"/>
                <w:sz w:val="21"/>
                <w:szCs w:val="21"/>
                <w:lang w:eastAsia="pl-PL"/>
              </w:rPr>
              <w:t xml:space="preserve"> </w:t>
            </w:r>
            <w:r w:rsidRPr="00216BD4">
              <w:rPr>
                <w:rFonts w:ascii="Times New Roman" w:eastAsia="Times New Roman" w:hAnsi="Times New Roman" w:cs="Times New Roman"/>
                <w:b/>
                <w:color w:val="000000"/>
                <w:sz w:val="21"/>
                <w:szCs w:val="21"/>
                <w:lang w:eastAsia="pl-PL"/>
              </w:rPr>
              <w:t>2021 r.</w:t>
            </w:r>
            <w:r w:rsidRPr="00216BD4">
              <w:rPr>
                <w:rFonts w:ascii="Times New Roman" w:eastAsia="Times New Roman" w:hAnsi="Times New Roman" w:cs="Times New Roman"/>
                <w:b/>
                <w:color w:val="000000"/>
                <w:sz w:val="21"/>
                <w:szCs w:val="21"/>
                <w:lang w:eastAsia="pl-PL"/>
              </w:rPr>
              <w:br/>
            </w:r>
            <w:r w:rsidRPr="00216BD4">
              <w:rPr>
                <w:rFonts w:ascii="Times New Roman" w:eastAsia="Times New Roman" w:hAnsi="Times New Roman" w:cs="Times New Roman"/>
                <w:color w:val="000000"/>
                <w:sz w:val="21"/>
                <w:szCs w:val="21"/>
                <w:lang w:eastAsia="pl-PL"/>
              </w:rPr>
              <w:t>     </w:t>
            </w:r>
          </w:p>
          <w:p w14:paraId="0547A31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p w14:paraId="2847416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sz w:val="24"/>
                <w:szCs w:val="24"/>
                <w:lang w:eastAsia="pl-PL"/>
              </w:rPr>
            </w:pPr>
            <w:bookmarkStart w:id="4" w:name="bookmark=id.1fob9te" w:colFirst="0" w:colLast="0"/>
            <w:bookmarkEnd w:id="4"/>
            <w:r w:rsidRPr="00216BD4">
              <w:rPr>
                <w:rFonts w:ascii="Times New Roman" w:eastAsia="Times New Roman" w:hAnsi="Times New Roman" w:cs="Times New Roman"/>
                <w:b/>
                <w:color w:val="000000"/>
                <w:lang w:eastAsia="pl-PL"/>
              </w:rPr>
              <w:t xml:space="preserve">Źródło: Inicjatywa własna oraz powstanie polskiego tłumaczenia WCAG 2.1 którego odpowiednikiem jest załącznik do ustawy </w:t>
            </w:r>
          </w:p>
          <w:p w14:paraId="50A3F24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br/>
            </w:r>
          </w:p>
          <w:p w14:paraId="3C92E8B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p w14:paraId="6AF744B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p w14:paraId="2B1336AF" w14:textId="77777777" w:rsidR="00216BD4" w:rsidRPr="00216BD4" w:rsidRDefault="00216BD4" w:rsidP="00216BD4">
            <w:pPr>
              <w:pBdr>
                <w:top w:val="nil"/>
                <w:left w:val="nil"/>
                <w:bottom w:val="nil"/>
                <w:right w:val="nil"/>
                <w:between w:val="nil"/>
              </w:pBdr>
              <w:spacing w:before="120"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 xml:space="preserve">Nr w wykazie prac </w:t>
            </w:r>
            <w:r w:rsidR="00210E7A" w:rsidRPr="00210E7A">
              <w:rPr>
                <w:rFonts w:ascii="Times New Roman" w:eastAsia="Times New Roman" w:hAnsi="Times New Roman" w:cs="Times New Roman"/>
                <w:b/>
                <w:color w:val="000000"/>
                <w:lang w:eastAsia="pl-PL"/>
              </w:rPr>
              <w:t>UD294</w:t>
            </w:r>
          </w:p>
          <w:p w14:paraId="1B259F2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     </w:t>
            </w:r>
          </w:p>
          <w:p w14:paraId="0D56A0B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pl-PL"/>
              </w:rPr>
            </w:pPr>
          </w:p>
        </w:tc>
      </w:tr>
      <w:tr w:rsidR="00216BD4" w:rsidRPr="00216BD4" w14:paraId="756E8633" w14:textId="77777777" w:rsidTr="00216BD4">
        <w:trPr>
          <w:trHeight w:val="142"/>
          <w:jc w:val="center"/>
        </w:trPr>
        <w:tc>
          <w:tcPr>
            <w:tcW w:w="10947" w:type="dxa"/>
            <w:gridSpan w:val="29"/>
            <w:shd w:val="clear" w:color="auto" w:fill="99CCFF"/>
          </w:tcPr>
          <w:p w14:paraId="5E261132" w14:textId="77777777" w:rsidR="00216BD4" w:rsidRPr="00216BD4" w:rsidRDefault="00216BD4" w:rsidP="00216BD4">
            <w:pPr>
              <w:pBdr>
                <w:top w:val="nil"/>
                <w:left w:val="nil"/>
                <w:bottom w:val="nil"/>
                <w:right w:val="nil"/>
                <w:between w:val="nil"/>
              </w:pBdr>
              <w:spacing w:after="0" w:line="240" w:lineRule="auto"/>
              <w:ind w:left="57"/>
              <w:jc w:val="center"/>
              <w:rPr>
                <w:rFonts w:ascii="Times New Roman" w:eastAsia="Times New Roman" w:hAnsi="Times New Roman" w:cs="Times New Roman"/>
                <w:color w:val="FFFFFF"/>
                <w:sz w:val="32"/>
                <w:szCs w:val="32"/>
                <w:lang w:eastAsia="pl-PL"/>
              </w:rPr>
            </w:pPr>
            <w:r w:rsidRPr="00216BD4">
              <w:rPr>
                <w:rFonts w:ascii="Times New Roman" w:eastAsia="Times New Roman" w:hAnsi="Times New Roman" w:cs="Times New Roman"/>
                <w:b/>
                <w:color w:val="FFFFFF"/>
                <w:sz w:val="32"/>
                <w:szCs w:val="32"/>
                <w:lang w:eastAsia="pl-PL"/>
              </w:rPr>
              <w:t>OCENA SKUTKÓW REGULACJI</w:t>
            </w:r>
          </w:p>
        </w:tc>
      </w:tr>
      <w:tr w:rsidR="00216BD4" w:rsidRPr="00216BD4" w14:paraId="46F2560F" w14:textId="77777777" w:rsidTr="00216BD4">
        <w:trPr>
          <w:trHeight w:val="333"/>
          <w:jc w:val="center"/>
        </w:trPr>
        <w:tc>
          <w:tcPr>
            <w:tcW w:w="10947" w:type="dxa"/>
            <w:gridSpan w:val="29"/>
            <w:shd w:val="clear" w:color="auto" w:fill="99CCFF"/>
            <w:vAlign w:val="center"/>
          </w:tcPr>
          <w:p w14:paraId="2C1F46F8" w14:textId="77777777" w:rsidR="00216BD4" w:rsidRPr="00216BD4" w:rsidRDefault="00216BD4" w:rsidP="00216BD4">
            <w:pPr>
              <w:numPr>
                <w:ilvl w:val="0"/>
                <w:numId w:val="3"/>
              </w:numPr>
              <w:pBdr>
                <w:top w:val="nil"/>
                <w:left w:val="nil"/>
                <w:bottom w:val="nil"/>
                <w:right w:val="nil"/>
                <w:between w:val="nil"/>
              </w:pBdr>
              <w:spacing w:before="60" w:after="60" w:line="240" w:lineRule="auto"/>
              <w:ind w:left="318" w:hanging="284"/>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Jaki problem jest rozwiązywany</w:t>
            </w:r>
            <w:bookmarkStart w:id="5" w:name="bookmark=id.3znysh7" w:colFirst="0" w:colLast="0"/>
            <w:bookmarkEnd w:id="5"/>
            <w:r w:rsidRPr="00216BD4">
              <w:rPr>
                <w:rFonts w:ascii="Times New Roman" w:eastAsia="Times New Roman" w:hAnsi="Times New Roman" w:cs="Times New Roman"/>
                <w:b/>
                <w:color w:val="000000"/>
                <w:lang w:eastAsia="pl-PL"/>
              </w:rPr>
              <w:t>?</w:t>
            </w:r>
          </w:p>
        </w:tc>
      </w:tr>
      <w:tr w:rsidR="00216BD4" w:rsidRPr="00216BD4" w14:paraId="275BCBEC" w14:textId="77777777" w:rsidTr="00216BD4">
        <w:trPr>
          <w:trHeight w:val="142"/>
          <w:jc w:val="center"/>
        </w:trPr>
        <w:tc>
          <w:tcPr>
            <w:tcW w:w="10947" w:type="dxa"/>
            <w:gridSpan w:val="29"/>
            <w:shd w:val="clear" w:color="auto" w:fill="FFFFFF"/>
          </w:tcPr>
          <w:p w14:paraId="59DC5F9B" w14:textId="77777777" w:rsidR="00216BD4" w:rsidRPr="00216BD4" w:rsidRDefault="00216BD4" w:rsidP="00216BD4">
            <w:pPr>
              <w:widowControl w:val="0"/>
              <w:spacing w:after="120" w:line="240" w:lineRule="auto"/>
              <w:ind w:right="-15"/>
              <w:rPr>
                <w:rFonts w:ascii="Times New Roman" w:eastAsia="Times New Roman" w:hAnsi="Times New Roman" w:cs="Times New Roman"/>
                <w:lang w:eastAsia="pl-PL"/>
              </w:rPr>
            </w:pPr>
            <w:r w:rsidRPr="00216BD4">
              <w:rPr>
                <w:rFonts w:ascii="Times New Roman" w:eastAsia="Times New Roman" w:hAnsi="Times New Roman" w:cs="Times New Roman"/>
                <w:lang w:eastAsia="pl-PL"/>
              </w:rPr>
              <w:t>Coraz więcej informacji i usług oferowanych przez podmioty publiczne ma formę elektroniczną, a część z nich dostępna jest tylko w tej formie. Ze względu na swój publiczny charakter muszą być one w pełni dostępne cyfrowo dla wszystkich odbiorców, w tym osób z niepełnosprawnościami. Sposób zapewniania dostępności cyfrowej powinien być jednoznacznie określony i rozumiany.</w:t>
            </w:r>
          </w:p>
          <w:p w14:paraId="764C9532" w14:textId="77777777" w:rsidR="00216BD4" w:rsidRPr="00216BD4" w:rsidRDefault="00216BD4" w:rsidP="00216BD4">
            <w:pPr>
              <w:spacing w:before="120" w:after="0" w:line="240" w:lineRule="auto"/>
              <w:rPr>
                <w:rFonts w:ascii="Times New Roman" w:eastAsia="Calibri" w:hAnsi="Times New Roman" w:cs="Calibri"/>
                <w:lang w:eastAsia="pl-PL"/>
              </w:rPr>
            </w:pPr>
            <w:r w:rsidRPr="00216BD4">
              <w:rPr>
                <w:rFonts w:ascii="Times New Roman" w:eastAsia="Calibri" w:hAnsi="Times New Roman" w:cs="Calibri"/>
                <w:lang w:eastAsia="pl-PL"/>
              </w:rPr>
              <w:t>Aktual</w:t>
            </w:r>
            <w:r w:rsidR="00526400">
              <w:rPr>
                <w:rFonts w:ascii="Times New Roman" w:eastAsia="Calibri" w:hAnsi="Times New Roman" w:cs="Calibri"/>
                <w:lang w:eastAsia="pl-PL"/>
              </w:rPr>
              <w:t>nie obowiązująca ustawa wdraża d</w:t>
            </w:r>
            <w:r w:rsidRPr="00216BD4">
              <w:rPr>
                <w:rFonts w:ascii="Times New Roman" w:eastAsia="Calibri" w:hAnsi="Times New Roman" w:cs="Calibri"/>
                <w:lang w:eastAsia="pl-PL"/>
              </w:rPr>
              <w:t>yrektywę Parlamentu Europejskiego i Rady (UE) 2016/2102 z dnia 26 października 2016 r. w sprawie dostępności stron internetowych i mobilnych aplikacji organów sektora publicznego</w:t>
            </w:r>
            <w:r w:rsidR="00526400">
              <w:rPr>
                <w:rFonts w:ascii="Times New Roman" w:eastAsia="Calibri" w:hAnsi="Times New Roman" w:cs="Calibri"/>
                <w:lang w:eastAsia="pl-PL"/>
              </w:rPr>
              <w:t xml:space="preserve"> </w:t>
            </w:r>
            <w:r w:rsidR="00526400" w:rsidRPr="00526400">
              <w:rPr>
                <w:rFonts w:ascii="Times New Roman" w:eastAsia="Calibri" w:hAnsi="Times New Roman" w:cs="Calibri"/>
                <w:lang w:eastAsia="pl-PL"/>
              </w:rPr>
              <w:t>(Dz. Urz. UE L 327 z 02.12.2016, str. 1).</w:t>
            </w:r>
            <w:r w:rsidRPr="00216BD4">
              <w:rPr>
                <w:rFonts w:ascii="Times New Roman" w:eastAsia="Calibri" w:hAnsi="Times New Roman" w:cs="Calibri"/>
                <w:lang w:eastAsia="pl-PL"/>
              </w:rPr>
              <w:t xml:space="preserve"> Po dwóch latach działania wymaga jednak zmiany części przepisów lub ich uzupełnienia.</w:t>
            </w:r>
          </w:p>
          <w:p w14:paraId="7304A1D6" w14:textId="77777777" w:rsidR="00216BD4" w:rsidRPr="00216BD4" w:rsidRDefault="00216BD4" w:rsidP="00216BD4">
            <w:pPr>
              <w:spacing w:before="120" w:after="0" w:line="240" w:lineRule="auto"/>
              <w:rPr>
                <w:rFonts w:ascii="Times New Roman" w:eastAsia="Calibri" w:hAnsi="Times New Roman" w:cs="Calibri"/>
                <w:lang w:eastAsia="pl-PL"/>
              </w:rPr>
            </w:pPr>
            <w:r w:rsidRPr="00216BD4">
              <w:rPr>
                <w:rFonts w:ascii="Times New Roman" w:eastAsia="Calibri" w:hAnsi="Times New Roman" w:cs="Calibri"/>
                <w:lang w:eastAsia="pl-PL"/>
              </w:rPr>
              <w:t>Celem nowelizacji jest poprawa skuteczności wdrażania dostępności cyfrowej na stronach internetowych i w aplikacjach mobilnych podmiotów publicznych.</w:t>
            </w:r>
          </w:p>
          <w:p w14:paraId="13C1868E" w14:textId="77777777" w:rsidR="00216BD4" w:rsidRPr="00216BD4" w:rsidRDefault="00216BD4" w:rsidP="00216BD4">
            <w:pPr>
              <w:spacing w:before="120" w:after="0" w:line="240" w:lineRule="auto"/>
              <w:rPr>
                <w:rFonts w:ascii="Times New Roman" w:eastAsia="Calibri" w:hAnsi="Times New Roman" w:cs="Calibri"/>
                <w:lang w:eastAsia="pl-PL"/>
              </w:rPr>
            </w:pPr>
            <w:r w:rsidRPr="00216BD4">
              <w:rPr>
                <w:rFonts w:ascii="Times New Roman" w:eastAsia="Calibri" w:hAnsi="Times New Roman" w:cs="Calibri"/>
                <w:lang w:eastAsia="pl-PL"/>
              </w:rPr>
              <w:t xml:space="preserve">W 2020 r. opublikowane zostało oficjalne polskie tłumaczenia wytycznych WCAG 2.1, których odwzorowaniem jest załącznik do ustawy. Opublikowane tłumaczenie różni się na poziomie językowym od zawartości ww. załącznika. Może to prowadzić do nieporozumień i problemów interpretacyjnych. Nowa treść załącznika jest dostosowana do obowiązującego tłumaczenia WCAG 2.1. </w:t>
            </w:r>
          </w:p>
          <w:p w14:paraId="0253BA26" w14:textId="77777777" w:rsidR="00216BD4" w:rsidRPr="00216BD4" w:rsidRDefault="00216BD4" w:rsidP="00216BD4">
            <w:pPr>
              <w:spacing w:before="120" w:after="0" w:line="240" w:lineRule="auto"/>
              <w:rPr>
                <w:rFonts w:ascii="Times New Roman" w:eastAsia="Calibri" w:hAnsi="Times New Roman" w:cs="Calibri"/>
                <w:lang w:eastAsia="pl-PL"/>
              </w:rPr>
            </w:pPr>
            <w:r w:rsidRPr="00216BD4">
              <w:rPr>
                <w:rFonts w:ascii="Times New Roman" w:eastAsia="Calibri" w:hAnsi="Times New Roman" w:cs="Calibri"/>
                <w:lang w:eastAsia="pl-PL"/>
              </w:rPr>
              <w:t xml:space="preserve">Część przepisów obecnej ustawy była błędnie interpretowana – niezgodnie z intencją ustawodawcy. Powodowało to nieporozumienia i konieczność wielokrotnego wyjaśniania tych samych kwestii. Przepisy te są zatem precyzyjniej określone. </w:t>
            </w:r>
          </w:p>
          <w:p w14:paraId="6118FEFF" w14:textId="77777777" w:rsidR="00216BD4" w:rsidRPr="00216BD4" w:rsidRDefault="00216BD4" w:rsidP="00216BD4">
            <w:pPr>
              <w:spacing w:before="120" w:after="0" w:line="240" w:lineRule="auto"/>
              <w:rPr>
                <w:rFonts w:ascii="Times New Roman" w:eastAsia="Calibri" w:hAnsi="Times New Roman" w:cs="Calibri"/>
                <w:lang w:eastAsia="pl-PL"/>
              </w:rPr>
            </w:pPr>
            <w:r w:rsidRPr="00216BD4">
              <w:rPr>
                <w:rFonts w:ascii="Times New Roman" w:eastAsia="Calibri" w:hAnsi="Times New Roman" w:cs="Calibri"/>
                <w:lang w:eastAsia="pl-PL"/>
              </w:rPr>
              <w:t>Część przepisów obecnej ustawy obejmuje elementy, których faktycznie nie da się doprowadzić do dostępności cyfrowej (np. gry, część aplikacji mobilnych). Prowadzi to do sytuacji, w której istnieją uregulowania niemożliwe do wyegzekwowania. Także te przepisy są zaktualizowane.</w:t>
            </w:r>
          </w:p>
          <w:p w14:paraId="16FB6983" w14:textId="77777777" w:rsidR="00216BD4" w:rsidRDefault="00216BD4" w:rsidP="00216BD4">
            <w:pPr>
              <w:spacing w:before="120" w:after="0" w:line="240" w:lineRule="auto"/>
              <w:rPr>
                <w:rFonts w:ascii="Times New Roman" w:eastAsia="Calibri" w:hAnsi="Times New Roman" w:cs="Calibri"/>
                <w:lang w:eastAsia="pl-PL"/>
              </w:rPr>
            </w:pPr>
            <w:r w:rsidRPr="00216BD4">
              <w:rPr>
                <w:rFonts w:ascii="Times New Roman" w:eastAsia="Calibri" w:hAnsi="Times New Roman" w:cs="Calibri"/>
                <w:lang w:eastAsia="pl-PL"/>
              </w:rPr>
              <w:t>Wprowadzenie tych zmian ułatwi wdrażanie dostępności cyfrowej stron internetowych i aplikacji mobilnych podmiotów publicznych.</w:t>
            </w:r>
          </w:p>
          <w:p w14:paraId="460B8E25" w14:textId="77777777" w:rsidR="00382CC7" w:rsidRPr="00382CC7" w:rsidRDefault="00382CC7" w:rsidP="00382CC7">
            <w:pPr>
              <w:spacing w:before="120" w:after="0" w:line="240" w:lineRule="auto"/>
              <w:rPr>
                <w:rFonts w:ascii="Times New Roman" w:eastAsia="Calibri" w:hAnsi="Times New Roman" w:cs="Calibri"/>
                <w:lang w:eastAsia="pl-PL"/>
              </w:rPr>
            </w:pPr>
            <w:r>
              <w:rPr>
                <w:rFonts w:ascii="Times New Roman" w:eastAsia="Calibri" w:hAnsi="Times New Roman" w:cs="Calibri"/>
                <w:bCs/>
                <w:lang w:eastAsia="pl-PL"/>
              </w:rPr>
              <w:t>Wyniki</w:t>
            </w:r>
            <w:r w:rsidRPr="00382CC7">
              <w:rPr>
                <w:rFonts w:ascii="Times New Roman" w:eastAsia="Calibri" w:hAnsi="Times New Roman" w:cs="Calibri"/>
                <w:bCs/>
                <w:lang w:eastAsia="pl-PL"/>
              </w:rPr>
              <w:t xml:space="preserve"> obowiązkowego moni</w:t>
            </w:r>
            <w:r>
              <w:rPr>
                <w:rFonts w:ascii="Times New Roman" w:eastAsia="Calibri" w:hAnsi="Times New Roman" w:cs="Calibri"/>
                <w:bCs/>
                <w:lang w:eastAsia="pl-PL"/>
              </w:rPr>
              <w:t xml:space="preserve">torowania dostępności cyfrowej </w:t>
            </w:r>
            <w:r w:rsidRPr="00382CC7">
              <w:rPr>
                <w:rFonts w:ascii="Times New Roman" w:eastAsia="Calibri" w:hAnsi="Times New Roman" w:cs="Calibri"/>
                <w:lang w:eastAsia="pl-PL"/>
              </w:rPr>
              <w:t xml:space="preserve">za pierwszy okres monitorowania (łącznie 2020-2021) będą znane w grudniu 2021 r. </w:t>
            </w:r>
          </w:p>
          <w:p w14:paraId="44590D30" w14:textId="77777777" w:rsidR="000657BF" w:rsidRPr="00216BD4" w:rsidRDefault="000657BF" w:rsidP="00D945C3">
            <w:pPr>
              <w:spacing w:before="120" w:after="0" w:line="240" w:lineRule="auto"/>
              <w:rPr>
                <w:rFonts w:ascii="Times New Roman" w:eastAsia="Times New Roman" w:hAnsi="Times New Roman" w:cs="Times New Roman"/>
                <w:lang w:eastAsia="pl-PL"/>
              </w:rPr>
            </w:pPr>
            <w:r w:rsidRPr="000657BF">
              <w:rPr>
                <w:rFonts w:ascii="Times New Roman" w:eastAsia="Calibri" w:hAnsi="Times New Roman" w:cs="Calibri"/>
                <w:lang w:eastAsia="pl-PL"/>
              </w:rPr>
              <w:t xml:space="preserve">Do tej pory </w:t>
            </w:r>
            <w:r w:rsidRPr="000657BF">
              <w:rPr>
                <w:rFonts w:ascii="Times New Roman" w:hAnsi="Times New Roman" w:cs="Times New Roman"/>
                <w:lang w:eastAsia="pl-PL"/>
              </w:rPr>
              <w:t>żadna kara pieniężna, przewidziana w ustawie, nie została nałożona.</w:t>
            </w:r>
            <w:r w:rsidRPr="000657BF">
              <w:rPr>
                <w:rFonts w:ascii="Times New Roman" w:eastAsia="Calibri" w:hAnsi="Times New Roman" w:cs="Calibri"/>
                <w:lang w:eastAsia="pl-PL"/>
              </w:rPr>
              <w:t xml:space="preserve"> Nie było to możliwe, gdyż zgodnie z art. 19 ust. 2-4, kary mogą być nakładane dopiero po stwierdzeniu nieprawidłowości podczas 2 (dla deklaracji dostępności i BIP) lub 3 (dla stron internetowych) kolejnych monitorowań. Tymczasem w grudniu 2021 kończy się dopiero pierwszy okres monitorowania. </w:t>
            </w:r>
          </w:p>
        </w:tc>
      </w:tr>
      <w:tr w:rsidR="00216BD4" w:rsidRPr="00216BD4" w14:paraId="40D14478" w14:textId="77777777" w:rsidTr="00216BD4">
        <w:trPr>
          <w:trHeight w:val="142"/>
          <w:jc w:val="center"/>
        </w:trPr>
        <w:tc>
          <w:tcPr>
            <w:tcW w:w="10947" w:type="dxa"/>
            <w:gridSpan w:val="29"/>
            <w:shd w:val="clear" w:color="auto" w:fill="99CCFF"/>
            <w:vAlign w:val="center"/>
          </w:tcPr>
          <w:p w14:paraId="07AADC47" w14:textId="77777777" w:rsidR="00216BD4" w:rsidRPr="00216BD4" w:rsidRDefault="00216BD4" w:rsidP="00216BD4">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lang w:eastAsia="pl-PL"/>
              </w:rPr>
            </w:pPr>
            <w:r w:rsidRPr="00216BD4">
              <w:rPr>
                <w:rFonts w:ascii="Times New Roman" w:eastAsia="Times New Roman" w:hAnsi="Times New Roman" w:cs="Times New Roman"/>
                <w:b/>
                <w:lang w:eastAsia="pl-PL"/>
              </w:rPr>
              <w:t>Rekomendowane rozwiązanie, w tym planowane narzędzia interwencji, i oczekiwany efekt</w:t>
            </w:r>
          </w:p>
        </w:tc>
      </w:tr>
      <w:tr w:rsidR="00216BD4" w:rsidRPr="00216BD4" w14:paraId="36E8470B" w14:textId="77777777" w:rsidTr="00216BD4">
        <w:trPr>
          <w:trHeight w:val="142"/>
          <w:jc w:val="center"/>
        </w:trPr>
        <w:tc>
          <w:tcPr>
            <w:tcW w:w="10947" w:type="dxa"/>
            <w:gridSpan w:val="29"/>
          </w:tcPr>
          <w:p w14:paraId="373C7DAB" w14:textId="77777777" w:rsidR="00216BD4" w:rsidRPr="00216BD4" w:rsidRDefault="00216BD4" w:rsidP="00216BD4">
            <w:pPr>
              <w:numPr>
                <w:ilvl w:val="3"/>
                <w:numId w:val="3"/>
              </w:numPr>
              <w:spacing w:before="120" w:after="120" w:line="240" w:lineRule="auto"/>
              <w:ind w:left="347" w:hanging="426"/>
              <w:contextualSpacing/>
              <w:rPr>
                <w:rFonts w:ascii="Times New Roman" w:eastAsia="Times New Roman" w:hAnsi="Times New Roman" w:cs="Calibri"/>
                <w:lang w:eastAsia="pl-PL"/>
              </w:rPr>
            </w:pPr>
            <w:proofErr w:type="spellStart"/>
            <w:r w:rsidRPr="00216BD4">
              <w:rPr>
                <w:rFonts w:ascii="Times New Roman" w:eastAsia="Times New Roman" w:hAnsi="Times New Roman" w:cs="Calibri"/>
                <w:lang w:eastAsia="pl-PL"/>
              </w:rPr>
              <w:t>Uspójnienie</w:t>
            </w:r>
            <w:proofErr w:type="spellEnd"/>
            <w:r w:rsidRPr="00216BD4">
              <w:rPr>
                <w:rFonts w:ascii="Times New Roman" w:eastAsia="Times New Roman" w:hAnsi="Times New Roman" w:cs="Calibri"/>
                <w:lang w:eastAsia="pl-PL"/>
              </w:rPr>
              <w:t xml:space="preserve"> polskiego tłumaczenia WCAG 2.1 i załącznika do ustawy - dotychczasowy załącznik zostaje zastąpiony nowym, odpowiadającym w swej treści zwrotom użytym w tłumaczeniu. </w:t>
            </w:r>
          </w:p>
          <w:p w14:paraId="26ADED4D" w14:textId="77777777" w:rsidR="00216BD4" w:rsidRPr="00216BD4" w:rsidRDefault="00216BD4" w:rsidP="00216BD4">
            <w:pPr>
              <w:numPr>
                <w:ilvl w:val="3"/>
                <w:numId w:val="3"/>
              </w:numPr>
              <w:spacing w:before="120" w:after="120" w:line="240" w:lineRule="auto"/>
              <w:ind w:left="347" w:hanging="426"/>
              <w:contextualSpacing/>
              <w:rPr>
                <w:rFonts w:ascii="Times New Roman" w:eastAsia="Times New Roman" w:hAnsi="Times New Roman" w:cs="Calibri"/>
                <w:lang w:eastAsia="pl-PL"/>
              </w:rPr>
            </w:pPr>
            <w:r w:rsidRPr="00216BD4">
              <w:rPr>
                <w:rFonts w:ascii="Times New Roman" w:eastAsia="Times New Roman" w:hAnsi="Times New Roman" w:cs="Calibri"/>
                <w:lang w:eastAsia="pl-PL"/>
              </w:rPr>
              <w:t xml:space="preserve">W deklaracji dostępności wprowadzona jest możliwość podania kontaktu do jednostki organizacyjnej zajmującej się </w:t>
            </w:r>
            <w:r w:rsidRPr="00216BD4">
              <w:rPr>
                <w:rFonts w:ascii="Times New Roman" w:eastAsia="Times New Roman" w:hAnsi="Times New Roman" w:cs="Calibri"/>
                <w:lang w:eastAsia="pl-PL"/>
              </w:rPr>
              <w:lastRenderedPageBreak/>
              <w:t>dostępnością cyfrową, a nie tylko do konkretnej osoby. Upraszcza to kontakt z podmiotami publicznymi, które działają często w złożonych strukturach organizacyjnych.</w:t>
            </w:r>
          </w:p>
          <w:p w14:paraId="79757730" w14:textId="77777777" w:rsidR="00216BD4" w:rsidRPr="00216BD4" w:rsidRDefault="00216BD4" w:rsidP="00216BD4">
            <w:pPr>
              <w:numPr>
                <w:ilvl w:val="3"/>
                <w:numId w:val="3"/>
              </w:numPr>
              <w:spacing w:before="120" w:after="120" w:line="240" w:lineRule="auto"/>
              <w:ind w:left="347" w:hanging="426"/>
              <w:contextualSpacing/>
              <w:rPr>
                <w:rFonts w:ascii="Times New Roman" w:eastAsia="Times New Roman" w:hAnsi="Times New Roman" w:cs="Calibri"/>
                <w:lang w:eastAsia="pl-PL"/>
              </w:rPr>
            </w:pPr>
            <w:r w:rsidRPr="00216BD4">
              <w:rPr>
                <w:rFonts w:ascii="Times New Roman" w:eastAsia="Times New Roman" w:hAnsi="Times New Roman" w:cs="Calibri"/>
                <w:lang w:eastAsia="pl-PL"/>
              </w:rPr>
              <w:t>Usunięcie przepisów, których nie da się wyegzekwować:</w:t>
            </w:r>
          </w:p>
          <w:p w14:paraId="2A6A72EF" w14:textId="77777777" w:rsidR="00216BD4" w:rsidRPr="00216BD4" w:rsidRDefault="00526400"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g</w:t>
            </w:r>
            <w:r w:rsidR="00216BD4" w:rsidRPr="00216BD4">
              <w:rPr>
                <w:rFonts w:ascii="Times New Roman" w:eastAsia="Times New Roman" w:hAnsi="Times New Roman" w:cs="Calibri"/>
                <w:lang w:eastAsia="pl-PL"/>
              </w:rPr>
              <w:t>ry komputerowe (działające w przeglądarce) zostają wyłączone spod przepisów ustawy. Gier komputerowych nie da się realnie doprowadzić do pełnej dostępności cyfrowej, a niektóre podmioty publiczne tworzą je w</w:t>
            </w:r>
            <w:r w:rsidR="003912A1">
              <w:rPr>
                <w:rFonts w:ascii="Times New Roman" w:eastAsia="Times New Roman" w:hAnsi="Times New Roman" w:cs="Calibri"/>
                <w:lang w:eastAsia="pl-PL"/>
              </w:rPr>
              <w:t> </w:t>
            </w:r>
            <w:r w:rsidR="00216BD4" w:rsidRPr="00216BD4">
              <w:rPr>
                <w:rFonts w:ascii="Times New Roman" w:eastAsia="Times New Roman" w:hAnsi="Times New Roman" w:cs="Calibri"/>
                <w:lang w:eastAsia="pl-PL"/>
              </w:rPr>
              <w:t>celac</w:t>
            </w:r>
            <w:r>
              <w:rPr>
                <w:rFonts w:ascii="Times New Roman" w:eastAsia="Times New Roman" w:hAnsi="Times New Roman" w:cs="Calibri"/>
                <w:lang w:eastAsia="pl-PL"/>
              </w:rPr>
              <w:t>h promocyjnych lub edukacyjnych,</w:t>
            </w:r>
          </w:p>
          <w:p w14:paraId="50C81676" w14:textId="77777777" w:rsidR="00216BD4" w:rsidRPr="00216BD4" w:rsidRDefault="00526400"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z</w:t>
            </w:r>
            <w:r w:rsidR="00216BD4" w:rsidRPr="00216BD4">
              <w:rPr>
                <w:rFonts w:ascii="Times New Roman" w:eastAsia="Times New Roman" w:hAnsi="Times New Roman" w:cs="Calibri"/>
                <w:lang w:eastAsia="pl-PL"/>
              </w:rPr>
              <w:t>łożone schematy i dokumentacje techniczne w formie nietekstowej zostają wyłączone spod przepisów ustawy, gdyż nie jest możliwe dostarczenie ich alternatywy tekstowej, przekaz</w:t>
            </w:r>
            <w:r>
              <w:rPr>
                <w:rFonts w:ascii="Times New Roman" w:eastAsia="Times New Roman" w:hAnsi="Times New Roman" w:cs="Calibri"/>
                <w:lang w:eastAsia="pl-PL"/>
              </w:rPr>
              <w:t>ującej pełną, analogiczną treść,</w:t>
            </w:r>
          </w:p>
          <w:p w14:paraId="27128C54" w14:textId="77777777" w:rsidR="00216BD4" w:rsidRPr="00216BD4" w:rsidRDefault="00526400"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s</w:t>
            </w:r>
            <w:r w:rsidR="00216BD4" w:rsidRPr="00216BD4">
              <w:rPr>
                <w:rFonts w:ascii="Times New Roman" w:eastAsia="Times New Roman" w:hAnsi="Times New Roman" w:cs="Calibri"/>
                <w:lang w:eastAsia="pl-PL"/>
              </w:rPr>
              <w:t>ystemy zarządzania treścią (CMS) zostają wyłączone spod przepisów ustawy. Dla tych edytorów istnieją osobne, inne niż WCAG, standardy dostępności ATAG. Do tego znaczna część podmiotów publicznych korzysta z systemów CMS utworzonych przez podmioty zewnętrzne i nie ma żadnego w</w:t>
            </w:r>
            <w:r>
              <w:rPr>
                <w:rFonts w:ascii="Times New Roman" w:eastAsia="Times New Roman" w:hAnsi="Times New Roman" w:cs="Calibri"/>
                <w:lang w:eastAsia="pl-PL"/>
              </w:rPr>
              <w:t>pływu na ich dostępność cyfrową,</w:t>
            </w:r>
          </w:p>
          <w:p w14:paraId="0D9E35BB" w14:textId="77777777" w:rsidR="00216BD4" w:rsidRDefault="00526400"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o</w:t>
            </w:r>
            <w:r w:rsidR="00216BD4" w:rsidRPr="00216BD4">
              <w:rPr>
                <w:rFonts w:ascii="Times New Roman" w:eastAsia="Times New Roman" w:hAnsi="Times New Roman" w:cs="Calibri"/>
                <w:lang w:eastAsia="pl-PL"/>
              </w:rPr>
              <w:t>bowiązek bezwzględnego zapewnienia dostępności cyfrowej niektórych, kluczowych elementów zostaje ograniczony jedynie do stron internetowych, ze względu na to, że jest to ni</w:t>
            </w:r>
            <w:r>
              <w:rPr>
                <w:rFonts w:ascii="Times New Roman" w:eastAsia="Times New Roman" w:hAnsi="Times New Roman" w:cs="Calibri"/>
                <w:lang w:eastAsia="pl-PL"/>
              </w:rPr>
              <w:t>erealne dla aplikacji mobilnych,</w:t>
            </w:r>
          </w:p>
          <w:p w14:paraId="0D51C459" w14:textId="2DDCEA95" w:rsidR="00216BD4" w:rsidRPr="009E2A12" w:rsidRDefault="00526400" w:rsidP="009E2A12">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o</w:t>
            </w:r>
            <w:r w:rsidR="00216BD4" w:rsidRPr="00216BD4">
              <w:rPr>
                <w:rFonts w:ascii="Times New Roman" w:eastAsia="Times New Roman" w:hAnsi="Times New Roman" w:cs="Calibri"/>
                <w:lang w:eastAsia="pl-PL"/>
              </w:rPr>
              <w:t>bowiązek zapewnienia dostępności cyfrowej aplikacji mobilnych zostaje ograniczony poprzez usunięcie obowiązku zachowania zgodności z siedmioma kryteriami sukcesu, które nie odnoszą się do dostępności cyfrowej aplikacji mobilnych. Norma europejska EN 301 549 V2.1.2. nie uwzględnia tych kryteriów sukcesu w części określającej dostępność cyfrową aplikacji mobilnych, co nakłada konieczność zachowania spójności między przepisem ustawy a normą, do której ustawa również się odwołuje</w:t>
            </w:r>
            <w:r w:rsidR="008B024D">
              <w:rPr>
                <w:rFonts w:ascii="Times New Roman" w:eastAsia="Times New Roman" w:hAnsi="Times New Roman" w:cs="Calibri"/>
                <w:lang w:eastAsia="pl-PL"/>
              </w:rPr>
              <w:t>.</w:t>
            </w:r>
          </w:p>
          <w:p w14:paraId="14E63425" w14:textId="77777777" w:rsidR="00216BD4" w:rsidRPr="00216BD4" w:rsidRDefault="00216BD4" w:rsidP="00216BD4">
            <w:pPr>
              <w:numPr>
                <w:ilvl w:val="3"/>
                <w:numId w:val="3"/>
              </w:numPr>
              <w:spacing w:before="120" w:after="120" w:line="240" w:lineRule="auto"/>
              <w:ind w:left="347"/>
              <w:contextualSpacing/>
              <w:rPr>
                <w:rFonts w:ascii="Times New Roman" w:eastAsia="Times New Roman" w:hAnsi="Times New Roman" w:cs="Calibri"/>
                <w:lang w:eastAsia="pl-PL"/>
              </w:rPr>
            </w:pPr>
            <w:r w:rsidRPr="00216BD4">
              <w:rPr>
                <w:rFonts w:ascii="Times New Roman" w:eastAsia="Times New Roman" w:hAnsi="Times New Roman" w:cs="Calibri"/>
                <w:lang w:eastAsia="pl-PL"/>
              </w:rPr>
              <w:t xml:space="preserve">Doprecyzowanie </w:t>
            </w:r>
            <w:r w:rsidR="00526400">
              <w:rPr>
                <w:rFonts w:ascii="Times New Roman" w:eastAsia="Times New Roman" w:hAnsi="Times New Roman" w:cs="Calibri"/>
                <w:lang w:eastAsia="pl-PL"/>
              </w:rPr>
              <w:t>przepisów</w:t>
            </w:r>
            <w:r w:rsidRPr="00216BD4">
              <w:rPr>
                <w:rFonts w:ascii="Times New Roman" w:eastAsia="Times New Roman" w:hAnsi="Times New Roman" w:cs="Calibri"/>
                <w:lang w:eastAsia="pl-PL"/>
              </w:rPr>
              <w:t xml:space="preserve"> ustawy, dla uniknięcia niepoprawnych interpretacji lub niejasności:</w:t>
            </w:r>
          </w:p>
          <w:p w14:paraId="5E6B308D" w14:textId="77777777" w:rsidR="00216BD4" w:rsidRPr="00216BD4" w:rsidRDefault="00FF0D1F"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o</w:t>
            </w:r>
            <w:r w:rsidR="00216BD4" w:rsidRPr="00216BD4">
              <w:rPr>
                <w:rFonts w:ascii="Times New Roman" w:eastAsia="Times New Roman" w:hAnsi="Times New Roman" w:cs="Calibri"/>
                <w:lang w:eastAsia="pl-PL"/>
              </w:rPr>
              <w:t>kreślony zostaje obowiązek zapewnienia dostępności cyfrowej przez podmiot publiczny nie tylko całości stron internetowych i aplikacji mobilnych podmiotu publicznego, ale również treści publikowanych na innych stronach internetowych i</w:t>
            </w:r>
            <w:r>
              <w:rPr>
                <w:rFonts w:ascii="Times New Roman" w:eastAsia="Times New Roman" w:hAnsi="Times New Roman" w:cs="Calibri"/>
                <w:lang w:eastAsia="pl-PL"/>
              </w:rPr>
              <w:t xml:space="preserve"> w innych aplikacjach mobilnych,</w:t>
            </w:r>
          </w:p>
          <w:p w14:paraId="51328B81" w14:textId="77777777" w:rsidR="00216BD4" w:rsidRPr="00216BD4" w:rsidRDefault="00CA4BC6"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d</w:t>
            </w:r>
            <w:r w:rsidR="00216BD4" w:rsidRPr="00216BD4">
              <w:rPr>
                <w:rFonts w:ascii="Times New Roman" w:eastAsia="Times New Roman" w:hAnsi="Times New Roman" w:cs="Calibri"/>
                <w:lang w:eastAsia="pl-PL"/>
              </w:rPr>
              <w:t>odany zostaje przepis wyłączający spod przepisów ustawy strony internetowe zawierające wyłącznie elementy archiwalne. Pozwoli to uniknąć konieczności uzupełniania takich stron i aplikacji mobilnych o</w:t>
            </w:r>
            <w:r w:rsidR="003912A1">
              <w:rPr>
                <w:rFonts w:ascii="Times New Roman" w:eastAsia="Times New Roman" w:hAnsi="Times New Roman" w:cs="Calibri"/>
                <w:lang w:eastAsia="pl-PL"/>
              </w:rPr>
              <w:t> </w:t>
            </w:r>
            <w:r w:rsidR="00216BD4" w:rsidRPr="00216BD4">
              <w:rPr>
                <w:rFonts w:ascii="Times New Roman" w:eastAsia="Times New Roman" w:hAnsi="Times New Roman" w:cs="Calibri"/>
                <w:lang w:eastAsia="pl-PL"/>
              </w:rPr>
              <w:t>deklarację dostępności i inger</w:t>
            </w:r>
            <w:r>
              <w:rPr>
                <w:rFonts w:ascii="Times New Roman" w:eastAsia="Times New Roman" w:hAnsi="Times New Roman" w:cs="Calibri"/>
                <w:lang w:eastAsia="pl-PL"/>
              </w:rPr>
              <w:t>owania w ich strukturę oraz kod,</w:t>
            </w:r>
          </w:p>
          <w:p w14:paraId="1B1EBE7D" w14:textId="77777777" w:rsidR="00216BD4" w:rsidRPr="00216BD4" w:rsidRDefault="00CA4BC6"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u</w:t>
            </w:r>
            <w:r w:rsidR="00216BD4" w:rsidRPr="00216BD4">
              <w:rPr>
                <w:rFonts w:ascii="Times New Roman" w:eastAsia="Times New Roman" w:hAnsi="Times New Roman" w:cs="Calibri"/>
                <w:lang w:eastAsia="pl-PL"/>
              </w:rPr>
              <w:t>zupełniony zostaje przepis wymieniający elementy strony internetowej, które muszą być dostępne cyfrowo nawet jeśli podmiot publiczny powołuje się na nadmierne koszty. Dzięki temu nie będzie możliwe interpretowanie tego przepisu jako zamkniętej listy elementów stron internetowych i aplikacji mobilnych, które jako jedyne muszą by</w:t>
            </w:r>
            <w:r>
              <w:rPr>
                <w:rFonts w:ascii="Times New Roman" w:eastAsia="Times New Roman" w:hAnsi="Times New Roman" w:cs="Calibri"/>
                <w:lang w:eastAsia="pl-PL"/>
              </w:rPr>
              <w:t>ć dostępne,</w:t>
            </w:r>
          </w:p>
          <w:p w14:paraId="057E8719" w14:textId="77777777" w:rsidR="00216BD4" w:rsidRPr="00216BD4" w:rsidRDefault="00CA4BC6"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u</w:t>
            </w:r>
            <w:r w:rsidR="00216BD4" w:rsidRPr="00216BD4">
              <w:rPr>
                <w:rFonts w:ascii="Times New Roman" w:eastAsia="Times New Roman" w:hAnsi="Times New Roman" w:cs="Calibri"/>
                <w:lang w:eastAsia="pl-PL"/>
              </w:rPr>
              <w:t>zupełniona zostaje informacja dotyczącą publikacji linku do deklaracji dostępności aplikacji mobilnej o</w:t>
            </w:r>
            <w:r w:rsidR="003912A1">
              <w:rPr>
                <w:rFonts w:ascii="Times New Roman" w:eastAsia="Times New Roman" w:hAnsi="Times New Roman" w:cs="Calibri"/>
                <w:lang w:eastAsia="pl-PL"/>
              </w:rPr>
              <w:t> </w:t>
            </w:r>
            <w:r w:rsidR="00216BD4" w:rsidRPr="00216BD4">
              <w:rPr>
                <w:rFonts w:ascii="Times New Roman" w:eastAsia="Times New Roman" w:hAnsi="Times New Roman" w:cs="Calibri"/>
                <w:lang w:eastAsia="pl-PL"/>
              </w:rPr>
              <w:t>stwierdzenie, że jest to konieczne jedynie w deklaracji dostępności strony internetowej. Inaczej mógłby powstać obowiązek umieszczania w deklaracji dostępności link</w:t>
            </w:r>
            <w:r>
              <w:rPr>
                <w:rFonts w:ascii="Times New Roman" w:eastAsia="Times New Roman" w:hAnsi="Times New Roman" w:cs="Calibri"/>
                <w:lang w:eastAsia="pl-PL"/>
              </w:rPr>
              <w:t>u do tej deklaracji dostępności,</w:t>
            </w:r>
          </w:p>
          <w:p w14:paraId="62117AB5" w14:textId="77777777" w:rsidR="00216BD4" w:rsidRPr="00216BD4" w:rsidRDefault="00CA4BC6"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o</w:t>
            </w:r>
            <w:r w:rsidR="00216BD4" w:rsidRPr="00216BD4">
              <w:rPr>
                <w:rFonts w:ascii="Times New Roman" w:eastAsia="Times New Roman" w:hAnsi="Times New Roman" w:cs="Calibri"/>
                <w:lang w:eastAsia="pl-PL"/>
              </w:rPr>
              <w:t>kreślony zostaje język treści deklaracji dostępności. Ma ona służyć przede wszystkim użytkownikom stron internetowych i aplikacji mobilny</w:t>
            </w:r>
            <w:r w:rsidR="003912A1">
              <w:rPr>
                <w:rFonts w:ascii="Times New Roman" w:eastAsia="Times New Roman" w:hAnsi="Times New Roman" w:cs="Calibri"/>
                <w:lang w:eastAsia="pl-PL"/>
              </w:rPr>
              <w:t>ch</w:t>
            </w:r>
            <w:r w:rsidR="00216BD4" w:rsidRPr="00216BD4">
              <w:rPr>
                <w:rFonts w:ascii="Times New Roman" w:eastAsia="Times New Roman" w:hAnsi="Times New Roman" w:cs="Calibri"/>
                <w:lang w:eastAsia="pl-PL"/>
              </w:rPr>
              <w:t xml:space="preserve"> – powinna być zatem publikowana w tym samym języku co strona internetowa lub ap</w:t>
            </w:r>
            <w:r>
              <w:rPr>
                <w:rFonts w:ascii="Times New Roman" w:eastAsia="Times New Roman" w:hAnsi="Times New Roman" w:cs="Calibri"/>
                <w:lang w:eastAsia="pl-PL"/>
              </w:rPr>
              <w:t>likacja mobilna, której dotyczy,</w:t>
            </w:r>
            <w:r w:rsidR="00216BD4" w:rsidRPr="00216BD4">
              <w:rPr>
                <w:rFonts w:ascii="Times New Roman" w:eastAsia="Times New Roman" w:hAnsi="Times New Roman" w:cs="Calibri"/>
                <w:lang w:eastAsia="pl-PL"/>
              </w:rPr>
              <w:t xml:space="preserve"> </w:t>
            </w:r>
          </w:p>
          <w:p w14:paraId="539D6D89" w14:textId="77777777" w:rsidR="00216BD4" w:rsidRPr="00216BD4" w:rsidRDefault="00CA4BC6"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z</w:t>
            </w:r>
            <w:r w:rsidR="00216BD4" w:rsidRPr="00216BD4">
              <w:rPr>
                <w:rFonts w:ascii="Times New Roman" w:eastAsia="Times New Roman" w:hAnsi="Times New Roman" w:cs="Calibri"/>
                <w:lang w:eastAsia="pl-PL"/>
              </w:rPr>
              <w:t xml:space="preserve">ostaje wskazane, że link do deklaracji dostępności aplikacji mobilnej umieszczany jest w deklaracji dostępności strony internetowej, natomiast w aplikacji mobilnej jedynie wówczas, gdy nie powoduje to </w:t>
            </w:r>
            <w:r>
              <w:rPr>
                <w:rFonts w:ascii="Times New Roman" w:eastAsia="Times New Roman" w:hAnsi="Times New Roman" w:cs="Calibri"/>
                <w:lang w:eastAsia="pl-PL"/>
              </w:rPr>
              <w:t>nadmiernych kosztów,</w:t>
            </w:r>
          </w:p>
          <w:p w14:paraId="597FFD4E" w14:textId="77777777" w:rsidR="00216BD4" w:rsidRPr="00216BD4" w:rsidRDefault="00CA4BC6"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o</w:t>
            </w:r>
            <w:r w:rsidR="00216BD4" w:rsidRPr="00216BD4">
              <w:rPr>
                <w:rFonts w:ascii="Times New Roman" w:eastAsia="Times New Roman" w:hAnsi="Times New Roman" w:cs="Calibri"/>
                <w:lang w:eastAsia="pl-PL"/>
              </w:rPr>
              <w:t>kreślony zostaje maksymalny czas (14 dni), który podmiot publiczny ma na dodanie napisów i</w:t>
            </w:r>
            <w:r w:rsidR="003912A1">
              <w:rPr>
                <w:rFonts w:ascii="Times New Roman" w:eastAsia="Times New Roman" w:hAnsi="Times New Roman" w:cs="Calibri"/>
                <w:lang w:eastAsia="pl-PL"/>
              </w:rPr>
              <w:t> </w:t>
            </w:r>
            <w:proofErr w:type="spellStart"/>
            <w:r w:rsidR="00216BD4" w:rsidRPr="00216BD4">
              <w:rPr>
                <w:rFonts w:ascii="Times New Roman" w:eastAsia="Times New Roman" w:hAnsi="Times New Roman" w:cs="Calibri"/>
                <w:lang w:eastAsia="pl-PL"/>
              </w:rPr>
              <w:t>audiodeskrypcji</w:t>
            </w:r>
            <w:proofErr w:type="spellEnd"/>
            <w:r w:rsidR="00216BD4" w:rsidRPr="00216BD4">
              <w:rPr>
                <w:rFonts w:ascii="Times New Roman" w:eastAsia="Times New Roman" w:hAnsi="Times New Roman" w:cs="Calibri"/>
                <w:lang w:eastAsia="pl-PL"/>
              </w:rPr>
              <w:t xml:space="preserve"> do opublikowanego nagrania, wcześniej nadawanego na żywo. Określenie tego okre</w:t>
            </w:r>
            <w:r>
              <w:rPr>
                <w:rFonts w:ascii="Times New Roman" w:eastAsia="Times New Roman" w:hAnsi="Times New Roman" w:cs="Calibri"/>
                <w:lang w:eastAsia="pl-PL"/>
              </w:rPr>
              <w:t>su wynika z motywu 27 dyrektywy</w:t>
            </w:r>
            <w:r w:rsidRPr="00CA4BC6">
              <w:rPr>
                <w:rFonts w:ascii="Times New Roman" w:eastAsia="Calibri" w:hAnsi="Times New Roman" w:cs="Calibri"/>
                <w:lang w:eastAsia="pl-PL"/>
              </w:rPr>
              <w:t xml:space="preserve"> </w:t>
            </w:r>
            <w:r w:rsidRPr="00CA4BC6">
              <w:rPr>
                <w:rFonts w:ascii="Times New Roman" w:eastAsia="Times New Roman" w:hAnsi="Times New Roman" w:cs="Calibri"/>
                <w:lang w:eastAsia="pl-PL"/>
              </w:rPr>
              <w:t>Parlamentu Europejskiego i Rady (UE) 2016/2102 z dnia 26 października 2016 r. w sprawie dostępności stron internetowych i mobilnych aplikacji organów sektora publicznego</w:t>
            </w:r>
            <w:r>
              <w:rPr>
                <w:rFonts w:ascii="Times New Roman" w:eastAsia="Times New Roman" w:hAnsi="Times New Roman" w:cs="Calibri"/>
                <w:lang w:eastAsia="pl-PL"/>
              </w:rPr>
              <w:t>,</w:t>
            </w:r>
          </w:p>
          <w:p w14:paraId="1E257FB1" w14:textId="77777777" w:rsidR="00216BD4" w:rsidRPr="00216BD4" w:rsidRDefault="00CA4BC6" w:rsidP="00216BD4">
            <w:pPr>
              <w:numPr>
                <w:ilvl w:val="4"/>
                <w:numId w:val="3"/>
              </w:numPr>
              <w:spacing w:before="120" w:after="120" w:line="240" w:lineRule="auto"/>
              <w:ind w:left="914"/>
              <w:contextualSpacing/>
              <w:rPr>
                <w:rFonts w:ascii="Times New Roman" w:eastAsia="Times New Roman" w:hAnsi="Times New Roman" w:cs="Calibri"/>
                <w:lang w:eastAsia="pl-PL"/>
              </w:rPr>
            </w:pPr>
            <w:r>
              <w:rPr>
                <w:rFonts w:ascii="Times New Roman" w:eastAsia="Times New Roman" w:hAnsi="Times New Roman" w:cs="Calibri"/>
                <w:lang w:eastAsia="pl-PL"/>
              </w:rPr>
              <w:t>p</w:t>
            </w:r>
            <w:r w:rsidR="00216BD4" w:rsidRPr="00216BD4">
              <w:rPr>
                <w:rFonts w:ascii="Times New Roman" w:eastAsia="Times New Roman" w:hAnsi="Times New Roman" w:cs="Calibri"/>
                <w:lang w:eastAsia="pl-PL"/>
              </w:rPr>
              <w:t>rzepis wyłączający spod przepisów ustawy elementy stron internetowych i aplikacji mobilnych pochodzących od innego podmiotu zostaje poszerzony o pojęcie „finansowania przez podmiot publiczny”. Dzięki temu strony internetowe, aplikacje mobilne oraz ich elementy, których utworzenie były finansowane przez podmiot publiczny będą musiały być dostępne cyfrowo</w:t>
            </w:r>
            <w:r w:rsidR="003912A1">
              <w:rPr>
                <w:rFonts w:ascii="Times New Roman" w:eastAsia="Times New Roman" w:hAnsi="Times New Roman" w:cs="Calibri"/>
                <w:lang w:eastAsia="pl-PL"/>
              </w:rPr>
              <w:t>,</w:t>
            </w:r>
          </w:p>
          <w:p w14:paraId="1FA0616D" w14:textId="77777777" w:rsidR="00CC5229" w:rsidRDefault="00CA4BC6" w:rsidP="008B024D">
            <w:pPr>
              <w:numPr>
                <w:ilvl w:val="4"/>
                <w:numId w:val="3"/>
              </w:numPr>
              <w:spacing w:after="120" w:line="240" w:lineRule="auto"/>
              <w:ind w:left="914"/>
              <w:contextualSpacing/>
              <w:rPr>
                <w:rFonts w:ascii="Times New Roman" w:eastAsia="Times New Roman" w:hAnsi="Times New Roman" w:cs="Times New Roman"/>
                <w:lang w:eastAsia="pl-PL"/>
              </w:rPr>
            </w:pPr>
            <w:r>
              <w:rPr>
                <w:rFonts w:ascii="Times New Roman" w:eastAsia="Calibri" w:hAnsi="Times New Roman" w:cs="Times New Roman"/>
                <w:lang w:eastAsia="pl-PL"/>
              </w:rPr>
              <w:t>z</w:t>
            </w:r>
            <w:r w:rsidR="00216BD4" w:rsidRPr="00216BD4">
              <w:rPr>
                <w:rFonts w:ascii="Times New Roman" w:eastAsia="Calibri" w:hAnsi="Times New Roman" w:cs="Times New Roman"/>
                <w:lang w:eastAsia="pl-PL"/>
              </w:rPr>
              <w:t xml:space="preserve">ostaje dodana dodatkowa definicja „aplikacji internetowej”, co pozwala na szczególne określenie obowiązku zapewnienia </w:t>
            </w:r>
            <w:r w:rsidR="00216BD4" w:rsidRPr="00216BD4">
              <w:rPr>
                <w:rFonts w:ascii="Times New Roman" w:eastAsia="Calibri" w:hAnsi="Times New Roman" w:cs="Calibri"/>
                <w:lang w:eastAsia="pl-PL"/>
              </w:rPr>
              <w:t xml:space="preserve">jej </w:t>
            </w:r>
            <w:r w:rsidR="00216BD4" w:rsidRPr="00216BD4">
              <w:rPr>
                <w:rFonts w:ascii="Times New Roman" w:eastAsia="Calibri" w:hAnsi="Times New Roman" w:cs="Times New Roman"/>
                <w:lang w:eastAsia="pl-PL"/>
              </w:rPr>
              <w:t xml:space="preserve">dostępności cyfrowej. Szereg takich aplikacji (np. dzienniki elektroniczne) zawiera uwarunkowania techniczne lub prawne (licencje) utrudniające czy wręcz uniemożliwiające zapewnienie </w:t>
            </w:r>
            <w:r w:rsidR="00216BD4" w:rsidRPr="00216BD4">
              <w:rPr>
                <w:rFonts w:ascii="Times New Roman" w:eastAsia="Calibri" w:hAnsi="Times New Roman" w:cs="Calibri"/>
                <w:lang w:eastAsia="pl-PL"/>
              </w:rPr>
              <w:t xml:space="preserve">ich </w:t>
            </w:r>
            <w:r w:rsidR="00216BD4" w:rsidRPr="00216BD4">
              <w:rPr>
                <w:rFonts w:ascii="Times New Roman" w:eastAsia="Calibri" w:hAnsi="Times New Roman" w:cs="Times New Roman"/>
                <w:lang w:eastAsia="pl-PL"/>
              </w:rPr>
              <w:t>dostępności cyfrowej</w:t>
            </w:r>
            <w:r w:rsidR="00216BD4" w:rsidRPr="00216BD4">
              <w:rPr>
                <w:rFonts w:ascii="Times New Roman" w:eastAsia="Calibri" w:hAnsi="Times New Roman" w:cs="Calibri"/>
                <w:lang w:eastAsia="pl-PL"/>
              </w:rPr>
              <w:t xml:space="preserve"> przez podmiot publiczny</w:t>
            </w:r>
            <w:r w:rsidR="00216BD4" w:rsidRPr="00216BD4">
              <w:rPr>
                <w:rFonts w:ascii="Times New Roman" w:eastAsia="Calibri" w:hAnsi="Times New Roman" w:cs="Times New Roman"/>
                <w:lang w:eastAsia="pl-PL"/>
              </w:rPr>
              <w:t>. Ponadto</w:t>
            </w:r>
            <w:r w:rsidR="00216BD4" w:rsidRPr="00216BD4">
              <w:rPr>
                <w:rFonts w:ascii="Times New Roman" w:eastAsia="Calibri" w:hAnsi="Times New Roman" w:cs="Calibri"/>
                <w:lang w:eastAsia="pl-PL"/>
              </w:rPr>
              <w:t>,</w:t>
            </w:r>
            <w:r w:rsidR="00216BD4" w:rsidRPr="00216BD4">
              <w:rPr>
                <w:rFonts w:ascii="Times New Roman" w:eastAsia="Calibri" w:hAnsi="Times New Roman" w:cs="Times New Roman"/>
                <w:lang w:eastAsia="pl-PL"/>
              </w:rPr>
              <w:t xml:space="preserve"> w przypadku aplikacji internetowej</w:t>
            </w:r>
            <w:r w:rsidR="00216BD4" w:rsidRPr="00216BD4">
              <w:rPr>
                <w:rFonts w:ascii="Times New Roman" w:eastAsia="Calibri" w:hAnsi="Times New Roman" w:cs="Calibri"/>
                <w:lang w:eastAsia="pl-PL"/>
              </w:rPr>
              <w:t>,</w:t>
            </w:r>
            <w:r w:rsidR="00216BD4" w:rsidRPr="00216BD4">
              <w:rPr>
                <w:rFonts w:ascii="Times New Roman" w:eastAsia="Calibri" w:hAnsi="Times New Roman" w:cs="Times New Roman"/>
                <w:lang w:eastAsia="pl-PL"/>
              </w:rPr>
              <w:t xml:space="preserve"> zniesiony jest obowiązek publikacji deklaracji dostępności w samej aplikacji (która jest jednocześnie stroną internetową), gdyż może to nie być możliwe z przyczyn technicznych lub prawnych.</w:t>
            </w:r>
          </w:p>
          <w:p w14:paraId="66C647F2" w14:textId="77777777" w:rsidR="00CC5229" w:rsidRDefault="008B024D" w:rsidP="008B024D">
            <w:pPr>
              <w:pStyle w:val="Akapitzlist"/>
              <w:numPr>
                <w:ilvl w:val="3"/>
                <w:numId w:val="3"/>
              </w:numPr>
              <w:spacing w:after="120"/>
              <w:ind w:left="313" w:hanging="313"/>
              <w:rPr>
                <w:rFonts w:ascii="Times New Roman" w:eastAsia="Times New Roman" w:hAnsi="Times New Roman" w:cs="Calibri"/>
                <w:sz w:val="22"/>
                <w:szCs w:val="22"/>
                <w:lang w:eastAsia="pl-PL"/>
              </w:rPr>
            </w:pPr>
            <w:r>
              <w:rPr>
                <w:rFonts w:ascii="Times New Roman" w:eastAsia="Times New Roman" w:hAnsi="Times New Roman" w:cs="Calibri"/>
                <w:sz w:val="22"/>
                <w:szCs w:val="22"/>
                <w:lang w:eastAsia="pl-PL"/>
              </w:rPr>
              <w:lastRenderedPageBreak/>
              <w:t>W</w:t>
            </w:r>
            <w:r w:rsidR="00CC5229" w:rsidRPr="008B024D">
              <w:rPr>
                <w:rFonts w:ascii="Times New Roman" w:eastAsia="Times New Roman" w:hAnsi="Times New Roman" w:cs="Calibri"/>
                <w:sz w:val="22"/>
                <w:szCs w:val="22"/>
                <w:lang w:eastAsia="pl-PL"/>
              </w:rPr>
              <w:t>skazani</w:t>
            </w:r>
            <w:r w:rsidRPr="008B024D">
              <w:rPr>
                <w:rFonts w:ascii="Times New Roman" w:eastAsia="Times New Roman" w:hAnsi="Times New Roman" w:cs="Calibri"/>
                <w:sz w:val="22"/>
                <w:szCs w:val="22"/>
                <w:lang w:eastAsia="pl-PL"/>
              </w:rPr>
              <w:t>e</w:t>
            </w:r>
            <w:r w:rsidR="00CC5229" w:rsidRPr="008B024D">
              <w:rPr>
                <w:rFonts w:ascii="Times New Roman" w:eastAsia="Times New Roman" w:hAnsi="Times New Roman" w:cs="Calibri"/>
                <w:sz w:val="22"/>
                <w:szCs w:val="22"/>
                <w:lang w:eastAsia="pl-PL"/>
              </w:rPr>
              <w:t xml:space="preserve"> nowego numeru wersji nazwy normy unijnej, na którą powołuje się przepis oraz dodaniu zwrotu „a w przypadku wydania nowszej wersji tej normy zgodnie z tą wersją”. Propozycja ta oznacza, że podmioty publiczne zapewniając dostępność cyfrową będą musiały brać pod uwagę ostatnią, najnowszą obowiązującą wersję normy, co jednocześnie zlikwiduje konieczność nowelizacji ustawy za każdym razem, w przypadku zmiany wersji normy.</w:t>
            </w:r>
          </w:p>
          <w:p w14:paraId="5FC2F557" w14:textId="77777777" w:rsidR="008B024D" w:rsidRPr="000657BF" w:rsidRDefault="008B024D" w:rsidP="008B024D">
            <w:pPr>
              <w:pStyle w:val="Akapitzlist"/>
              <w:numPr>
                <w:ilvl w:val="3"/>
                <w:numId w:val="3"/>
              </w:numPr>
              <w:spacing w:after="120"/>
              <w:ind w:left="313" w:hanging="313"/>
              <w:rPr>
                <w:rFonts w:ascii="Times New Roman" w:eastAsia="Times New Roman" w:hAnsi="Times New Roman" w:cs="Calibri"/>
                <w:sz w:val="22"/>
                <w:szCs w:val="22"/>
                <w:lang w:eastAsia="pl-PL"/>
              </w:rPr>
            </w:pPr>
            <w:r w:rsidRPr="000657BF">
              <w:rPr>
                <w:rFonts w:ascii="Times New Roman" w:eastAsia="Times New Roman" w:hAnsi="Times New Roman" w:cs="Times New Roman"/>
                <w:sz w:val="22"/>
                <w:szCs w:val="22"/>
                <w:lang w:eastAsia="pl-PL"/>
              </w:rPr>
              <w:t>Wydłużenie czasu utrzymania w mocy rozporządzenia Rady Ministrów z dnia 12 kwietnia 2012 r</w:t>
            </w:r>
            <w:r w:rsidRPr="000657BF">
              <w:rPr>
                <w:rFonts w:ascii="Times New Roman" w:eastAsia="Times New Roman" w:hAnsi="Times New Roman" w:cs="Times New Roman"/>
                <w:i/>
                <w:sz w:val="22"/>
                <w:szCs w:val="22"/>
                <w:lang w:eastAsia="pl-PL"/>
              </w:rPr>
              <w:t>. w sprawie Krajowych Ram Interoperacyjności, minimalnych wymagań dla rejestrów publicznych i wymiany informacji w postaci elektronicznej oraz minimalnych wymagań dla systemów teleinformatycznych</w:t>
            </w:r>
            <w:r w:rsidRPr="000657BF">
              <w:rPr>
                <w:rFonts w:ascii="Times New Roman" w:eastAsia="Times New Roman" w:hAnsi="Times New Roman" w:cs="Times New Roman"/>
                <w:sz w:val="22"/>
                <w:szCs w:val="22"/>
                <w:lang w:eastAsia="pl-PL"/>
              </w:rPr>
              <w:t xml:space="preserve"> (Dz. U. z 2017 r. poz. 2247).</w:t>
            </w:r>
          </w:p>
          <w:p w14:paraId="554AF00F" w14:textId="77777777" w:rsidR="00CC5229" w:rsidRPr="00216BD4" w:rsidRDefault="00CC5229" w:rsidP="008B024D">
            <w:pPr>
              <w:spacing w:after="120" w:line="240" w:lineRule="auto"/>
              <w:contextualSpacing/>
              <w:rPr>
                <w:rFonts w:ascii="Times New Roman" w:eastAsia="Times New Roman" w:hAnsi="Times New Roman" w:cs="Times New Roman"/>
                <w:lang w:eastAsia="pl-PL"/>
              </w:rPr>
            </w:pPr>
          </w:p>
        </w:tc>
      </w:tr>
      <w:tr w:rsidR="00216BD4" w:rsidRPr="00216BD4" w14:paraId="24475142" w14:textId="77777777" w:rsidTr="00216BD4">
        <w:trPr>
          <w:trHeight w:val="307"/>
          <w:jc w:val="center"/>
        </w:trPr>
        <w:tc>
          <w:tcPr>
            <w:tcW w:w="10947" w:type="dxa"/>
            <w:gridSpan w:val="29"/>
            <w:shd w:val="clear" w:color="auto" w:fill="99CCFF"/>
            <w:vAlign w:val="center"/>
          </w:tcPr>
          <w:p w14:paraId="07FA3170" w14:textId="77777777" w:rsidR="00216BD4" w:rsidRPr="00216BD4" w:rsidRDefault="00216BD4" w:rsidP="00216BD4">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b/>
                <w:lang w:eastAsia="pl-PL"/>
              </w:rPr>
            </w:pPr>
            <w:r w:rsidRPr="00216BD4">
              <w:rPr>
                <w:rFonts w:ascii="Times New Roman" w:eastAsia="Times New Roman" w:hAnsi="Times New Roman" w:cs="Times New Roman"/>
                <w:b/>
                <w:lang w:eastAsia="pl-PL"/>
              </w:rPr>
              <w:lastRenderedPageBreak/>
              <w:t xml:space="preserve">Jak problem został rozwiązany w innych krajach, w szczególności krajach członkowskich OECD/UE? </w:t>
            </w:r>
          </w:p>
        </w:tc>
      </w:tr>
      <w:tr w:rsidR="00216BD4" w:rsidRPr="00216BD4" w14:paraId="60DBAD0A" w14:textId="77777777" w:rsidTr="00216BD4">
        <w:trPr>
          <w:trHeight w:val="142"/>
          <w:jc w:val="center"/>
        </w:trPr>
        <w:tc>
          <w:tcPr>
            <w:tcW w:w="10947" w:type="dxa"/>
            <w:gridSpan w:val="29"/>
          </w:tcPr>
          <w:p w14:paraId="5F0513F6" w14:textId="77777777" w:rsidR="00216BD4" w:rsidRPr="00216BD4" w:rsidRDefault="00216BD4" w:rsidP="00216BD4">
            <w:pPr>
              <w:spacing w:after="120" w:line="240" w:lineRule="auto"/>
              <w:rPr>
                <w:rFonts w:ascii="Times New Roman" w:eastAsia="Times New Roman" w:hAnsi="Times New Roman" w:cs="Times New Roman"/>
                <w:lang w:eastAsia="pl-PL"/>
              </w:rPr>
            </w:pPr>
            <w:r w:rsidRPr="00216BD4">
              <w:rPr>
                <w:rFonts w:ascii="Times New Roman" w:eastAsia="Times New Roman" w:hAnsi="Times New Roman" w:cs="Times New Roman"/>
                <w:lang w:eastAsia="pl-PL"/>
              </w:rPr>
              <w:t>We wszystkich państwac</w:t>
            </w:r>
            <w:r w:rsidR="00CA4BC6">
              <w:rPr>
                <w:rFonts w:ascii="Times New Roman" w:eastAsia="Times New Roman" w:hAnsi="Times New Roman" w:cs="Times New Roman"/>
                <w:lang w:eastAsia="pl-PL"/>
              </w:rPr>
              <w:t>h Unii Europejskiej obowiązuje d</w:t>
            </w:r>
            <w:r w:rsidRPr="00216BD4">
              <w:rPr>
                <w:rFonts w:ascii="Times New Roman" w:eastAsia="Times New Roman" w:hAnsi="Times New Roman" w:cs="Times New Roman"/>
                <w:lang w:eastAsia="pl-PL"/>
              </w:rPr>
              <w:t>yrektywa</w:t>
            </w:r>
            <w:r w:rsidRPr="00216BD4">
              <w:rPr>
                <w:rFonts w:ascii="Times New Roman" w:eastAsia="Times New Roman" w:hAnsi="Times New Roman" w:cs="Times New Roman"/>
                <w:b/>
                <w:lang w:eastAsia="pl-PL"/>
              </w:rPr>
              <w:t xml:space="preserve"> </w:t>
            </w:r>
            <w:r w:rsidRPr="00216BD4">
              <w:rPr>
                <w:rFonts w:ascii="Times New Roman" w:eastAsia="Times New Roman" w:hAnsi="Times New Roman" w:cs="Times New Roman"/>
                <w:lang w:eastAsia="pl-PL"/>
              </w:rPr>
              <w:t>Parlamentu Europejskiego i Rady (UE) 2016/2102 z</w:t>
            </w:r>
            <w:r w:rsidR="003912A1">
              <w:rPr>
                <w:rFonts w:ascii="Times New Roman" w:eastAsia="Times New Roman" w:hAnsi="Times New Roman" w:cs="Times New Roman"/>
                <w:lang w:eastAsia="pl-PL"/>
              </w:rPr>
              <w:t> </w:t>
            </w:r>
            <w:r w:rsidRPr="00216BD4">
              <w:rPr>
                <w:rFonts w:ascii="Times New Roman" w:eastAsia="Times New Roman" w:hAnsi="Times New Roman" w:cs="Times New Roman"/>
                <w:lang w:eastAsia="pl-PL"/>
              </w:rPr>
              <w:t>dnia 26 października 2016 r. w sprawie dostępności stron internetowych i mobilnych aplikacji organów sektora publicznego, która została w nich wdrożona odpowiednimi ustawami lub innymi rozwiązaniami prawnymi. Niektóre z</w:t>
            </w:r>
            <w:r w:rsidR="003912A1">
              <w:rPr>
                <w:rFonts w:ascii="Times New Roman" w:eastAsia="Times New Roman" w:hAnsi="Times New Roman" w:cs="Times New Roman"/>
                <w:lang w:eastAsia="pl-PL"/>
              </w:rPr>
              <w:t> </w:t>
            </w:r>
            <w:r w:rsidRPr="00216BD4">
              <w:rPr>
                <w:rFonts w:ascii="Times New Roman" w:eastAsia="Times New Roman" w:hAnsi="Times New Roman" w:cs="Times New Roman"/>
                <w:lang w:eastAsia="pl-PL"/>
              </w:rPr>
              <w:t>tych pań</w:t>
            </w:r>
            <w:r w:rsidR="00CA4BC6">
              <w:rPr>
                <w:rFonts w:ascii="Times New Roman" w:eastAsia="Times New Roman" w:hAnsi="Times New Roman" w:cs="Times New Roman"/>
                <w:lang w:eastAsia="pl-PL"/>
              </w:rPr>
              <w:t>s</w:t>
            </w:r>
            <w:r w:rsidRPr="00216BD4">
              <w:rPr>
                <w:rFonts w:ascii="Times New Roman" w:eastAsia="Times New Roman" w:hAnsi="Times New Roman" w:cs="Times New Roman"/>
                <w:lang w:eastAsia="pl-PL"/>
              </w:rPr>
              <w:t>tw, jak na przykład Luksemburg czy Belgia, wdrożyły dyrektywę kopiując bezpośrednio całość jej przepisów. Inne państwa, na przykład Francja, uzupełniły przepisy dyrektywy o swoje rozwiązania oparte przede wszystkim o</w:t>
            </w:r>
            <w:r w:rsidR="003912A1">
              <w:rPr>
                <w:rFonts w:ascii="Times New Roman" w:eastAsia="Times New Roman" w:hAnsi="Times New Roman" w:cs="Times New Roman"/>
                <w:lang w:eastAsia="pl-PL"/>
              </w:rPr>
              <w:t> </w:t>
            </w:r>
            <w:r w:rsidRPr="00216BD4">
              <w:rPr>
                <w:rFonts w:ascii="Times New Roman" w:eastAsia="Times New Roman" w:hAnsi="Times New Roman" w:cs="Times New Roman"/>
                <w:lang w:eastAsia="pl-PL"/>
              </w:rPr>
              <w:t xml:space="preserve">francuski system weryfikacji dostępności cyfrowej – RGAA. </w:t>
            </w:r>
          </w:p>
        </w:tc>
      </w:tr>
      <w:tr w:rsidR="00216BD4" w:rsidRPr="00216BD4" w14:paraId="6311CBD6" w14:textId="77777777" w:rsidTr="00216BD4">
        <w:trPr>
          <w:trHeight w:val="359"/>
          <w:jc w:val="center"/>
        </w:trPr>
        <w:tc>
          <w:tcPr>
            <w:tcW w:w="10947" w:type="dxa"/>
            <w:gridSpan w:val="29"/>
            <w:shd w:val="clear" w:color="auto" w:fill="99CCFF"/>
            <w:vAlign w:val="center"/>
          </w:tcPr>
          <w:p w14:paraId="668A4F51" w14:textId="77777777" w:rsidR="00216BD4" w:rsidRPr="00216BD4" w:rsidRDefault="00216BD4" w:rsidP="00216BD4">
            <w:pPr>
              <w:numPr>
                <w:ilvl w:val="0"/>
                <w:numId w:val="3"/>
              </w:numPr>
              <w:pBdr>
                <w:top w:val="nil"/>
                <w:left w:val="nil"/>
                <w:bottom w:val="nil"/>
                <w:right w:val="nil"/>
                <w:between w:val="nil"/>
              </w:pBdr>
              <w:spacing w:before="60" w:after="60" w:line="240" w:lineRule="auto"/>
              <w:ind w:left="318" w:hanging="284"/>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Podmioty, na które oddziałuje projekt</w:t>
            </w:r>
          </w:p>
        </w:tc>
      </w:tr>
      <w:tr w:rsidR="00216BD4" w:rsidRPr="00216BD4" w14:paraId="37664187" w14:textId="77777777" w:rsidTr="00216BD4">
        <w:trPr>
          <w:trHeight w:val="142"/>
          <w:jc w:val="center"/>
        </w:trPr>
        <w:tc>
          <w:tcPr>
            <w:tcW w:w="2668" w:type="dxa"/>
            <w:gridSpan w:val="3"/>
          </w:tcPr>
          <w:p w14:paraId="3CC5C2C9" w14:textId="77777777" w:rsidR="00216BD4" w:rsidRPr="00216BD4" w:rsidRDefault="00216BD4" w:rsidP="00216BD4">
            <w:pPr>
              <w:pBdr>
                <w:top w:val="nil"/>
                <w:left w:val="nil"/>
                <w:bottom w:val="nil"/>
                <w:right w:val="nil"/>
                <w:between w:val="nil"/>
              </w:pBdr>
              <w:spacing w:before="40" w:after="0" w:line="240" w:lineRule="auto"/>
              <w:jc w:val="center"/>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Grupa</w:t>
            </w:r>
          </w:p>
        </w:tc>
        <w:tc>
          <w:tcPr>
            <w:tcW w:w="2292" w:type="dxa"/>
            <w:gridSpan w:val="8"/>
          </w:tcPr>
          <w:p w14:paraId="09CE5E08" w14:textId="77777777" w:rsidR="00216BD4" w:rsidRPr="00216BD4" w:rsidRDefault="00216BD4" w:rsidP="00216BD4">
            <w:pPr>
              <w:pBdr>
                <w:top w:val="nil"/>
                <w:left w:val="nil"/>
                <w:bottom w:val="nil"/>
                <w:right w:val="nil"/>
                <w:between w:val="nil"/>
              </w:pBdr>
              <w:spacing w:before="40" w:after="0" w:line="240" w:lineRule="auto"/>
              <w:jc w:val="center"/>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Wielkość</w:t>
            </w:r>
          </w:p>
        </w:tc>
        <w:tc>
          <w:tcPr>
            <w:tcW w:w="2996" w:type="dxa"/>
            <w:gridSpan w:val="12"/>
          </w:tcPr>
          <w:p w14:paraId="4CFA178C" w14:textId="77777777" w:rsidR="00216BD4" w:rsidRPr="00216BD4" w:rsidRDefault="00216BD4" w:rsidP="00216BD4">
            <w:pPr>
              <w:pBdr>
                <w:top w:val="nil"/>
                <w:left w:val="nil"/>
                <w:bottom w:val="nil"/>
                <w:right w:val="nil"/>
                <w:between w:val="nil"/>
              </w:pBdr>
              <w:spacing w:before="40" w:after="0" w:line="240" w:lineRule="auto"/>
              <w:jc w:val="center"/>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 xml:space="preserve">Źródło danych </w:t>
            </w:r>
          </w:p>
        </w:tc>
        <w:tc>
          <w:tcPr>
            <w:tcW w:w="2991" w:type="dxa"/>
            <w:gridSpan w:val="6"/>
          </w:tcPr>
          <w:p w14:paraId="31662A01" w14:textId="77777777" w:rsidR="00216BD4" w:rsidRPr="00216BD4" w:rsidRDefault="00216BD4" w:rsidP="00216BD4">
            <w:pPr>
              <w:pBdr>
                <w:top w:val="nil"/>
                <w:left w:val="nil"/>
                <w:bottom w:val="nil"/>
                <w:right w:val="nil"/>
                <w:between w:val="nil"/>
              </w:pBdr>
              <w:spacing w:before="40" w:after="0" w:line="240" w:lineRule="auto"/>
              <w:jc w:val="center"/>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Oddziaływanie</w:t>
            </w:r>
          </w:p>
        </w:tc>
      </w:tr>
      <w:tr w:rsidR="00216BD4" w:rsidRPr="00216BD4" w14:paraId="676514FC" w14:textId="77777777" w:rsidTr="00216BD4">
        <w:trPr>
          <w:trHeight w:val="142"/>
          <w:jc w:val="center"/>
        </w:trPr>
        <w:tc>
          <w:tcPr>
            <w:tcW w:w="2668" w:type="dxa"/>
            <w:gridSpan w:val="3"/>
          </w:tcPr>
          <w:p w14:paraId="68ECB7B9" w14:textId="77777777" w:rsidR="00216BD4" w:rsidRPr="00216BD4" w:rsidRDefault="00216BD4" w:rsidP="00216BD4">
            <w:pPr>
              <w:spacing w:after="0" w:line="240" w:lineRule="auto"/>
              <w:rPr>
                <w:rFonts w:ascii="Times New Roman" w:eastAsia="Times New Roman" w:hAnsi="Times New Roman" w:cs="Times New Roman"/>
                <w:lang w:eastAsia="pl-PL"/>
              </w:rPr>
            </w:pPr>
            <w:r w:rsidRPr="00216BD4">
              <w:rPr>
                <w:rFonts w:ascii="Times New Roman" w:eastAsia="Times New Roman" w:hAnsi="Times New Roman" w:cs="Times New Roman"/>
                <w:lang w:eastAsia="pl-PL"/>
              </w:rPr>
              <w:t>publiczne podmioty gospodarcze</w:t>
            </w:r>
          </w:p>
        </w:tc>
        <w:tc>
          <w:tcPr>
            <w:tcW w:w="2292" w:type="dxa"/>
            <w:gridSpan w:val="8"/>
          </w:tcPr>
          <w:p w14:paraId="5C5132A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69561</w:t>
            </w:r>
          </w:p>
        </w:tc>
        <w:tc>
          <w:tcPr>
            <w:tcW w:w="2996" w:type="dxa"/>
            <w:gridSpan w:val="12"/>
          </w:tcPr>
          <w:p w14:paraId="321254C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Zestawienie podmiotów publicznych przekazane przez GUS 26 lutego 2021 r.</w:t>
            </w:r>
          </w:p>
        </w:tc>
        <w:tc>
          <w:tcPr>
            <w:tcW w:w="2991" w:type="dxa"/>
            <w:gridSpan w:val="6"/>
          </w:tcPr>
          <w:p w14:paraId="044BB4D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W zakresie publikacji deklaracji dostępności i organizacji zarządzania dostępnością cyfrową na stronach internetowych i w aplikacjach mobilnych</w:t>
            </w:r>
          </w:p>
        </w:tc>
      </w:tr>
      <w:tr w:rsidR="00216BD4" w:rsidRPr="00216BD4" w14:paraId="3E34935D" w14:textId="77777777" w:rsidTr="00216BD4">
        <w:trPr>
          <w:trHeight w:val="302"/>
          <w:jc w:val="center"/>
        </w:trPr>
        <w:tc>
          <w:tcPr>
            <w:tcW w:w="10947" w:type="dxa"/>
            <w:gridSpan w:val="29"/>
            <w:shd w:val="clear" w:color="auto" w:fill="99CCFF"/>
            <w:vAlign w:val="center"/>
          </w:tcPr>
          <w:p w14:paraId="2BE2FDEF" w14:textId="77777777" w:rsidR="00216BD4" w:rsidRPr="00216BD4" w:rsidRDefault="00216BD4" w:rsidP="00216BD4">
            <w:pPr>
              <w:numPr>
                <w:ilvl w:val="0"/>
                <w:numId w:val="3"/>
              </w:numPr>
              <w:pBdr>
                <w:top w:val="nil"/>
                <w:left w:val="nil"/>
                <w:bottom w:val="nil"/>
                <w:right w:val="nil"/>
                <w:between w:val="nil"/>
              </w:pBdr>
              <w:spacing w:before="60" w:after="60" w:line="240" w:lineRule="auto"/>
              <w:ind w:left="318" w:hanging="284"/>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Informacje na temat zakresu, czasu trwania i podsumowanie wyników konsultacji</w:t>
            </w:r>
          </w:p>
        </w:tc>
      </w:tr>
      <w:tr w:rsidR="00216BD4" w:rsidRPr="00216BD4" w14:paraId="4B8AD6A3" w14:textId="77777777" w:rsidTr="00216BD4">
        <w:trPr>
          <w:trHeight w:val="342"/>
          <w:jc w:val="center"/>
        </w:trPr>
        <w:tc>
          <w:tcPr>
            <w:tcW w:w="10947" w:type="dxa"/>
            <w:gridSpan w:val="29"/>
            <w:shd w:val="clear" w:color="auto" w:fill="FFFFFF"/>
          </w:tcPr>
          <w:p w14:paraId="020632F3" w14:textId="181D22E1" w:rsidR="00FF4E22" w:rsidRPr="00FF4E22" w:rsidRDefault="009331E5" w:rsidP="00FF4E22">
            <w:pPr>
              <w:pBdr>
                <w:top w:val="nil"/>
                <w:left w:val="nil"/>
                <w:bottom w:val="nil"/>
                <w:right w:val="nil"/>
                <w:between w:val="nil"/>
              </w:pBdr>
              <w:spacing w:after="0" w:line="240" w:lineRule="auto"/>
              <w:jc w:val="both"/>
              <w:rPr>
                <w:rFonts w:ascii="Times New Roman" w:hAnsi="Times New Roman" w:cs="Times New Roman"/>
              </w:rPr>
            </w:pPr>
            <w:r>
              <w:rPr>
                <w:rFonts w:ascii="Times New Roman" w:hAnsi="Times New Roman" w:cs="Times New Roman"/>
              </w:rPr>
              <w:t>Projekt został skierowany do konsultacji publicznych oraz opin</w:t>
            </w:r>
            <w:r w:rsidR="009E2A12">
              <w:rPr>
                <w:rFonts w:ascii="Times New Roman" w:hAnsi="Times New Roman" w:cs="Times New Roman"/>
              </w:rPr>
              <w:t>i</w:t>
            </w:r>
            <w:r>
              <w:rPr>
                <w:rFonts w:ascii="Times New Roman" w:hAnsi="Times New Roman" w:cs="Times New Roman"/>
              </w:rPr>
              <w:t xml:space="preserve">owania </w:t>
            </w:r>
            <w:r w:rsidR="00FF4E22" w:rsidRPr="00FF4E22">
              <w:rPr>
                <w:rFonts w:ascii="Times New Roman" w:hAnsi="Times New Roman" w:cs="Times New Roman"/>
              </w:rPr>
              <w:t>z następującymi podmiotami:</w:t>
            </w:r>
          </w:p>
          <w:p w14:paraId="33AE8684"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„Praca dla Niewidomych”;</w:t>
            </w:r>
          </w:p>
          <w:p w14:paraId="496B4560"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„Tęczowy Dom”;</w:t>
            </w:r>
          </w:p>
          <w:p w14:paraId="33516265"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Aktywizacja;</w:t>
            </w:r>
          </w:p>
          <w:p w14:paraId="54389375"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Aktywnej Rehabilitacji „FAR”;</w:t>
            </w:r>
          </w:p>
          <w:p w14:paraId="197DD662"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 xml:space="preserve">Fundacja </w:t>
            </w:r>
            <w:proofErr w:type="spellStart"/>
            <w:r w:rsidRPr="00052426">
              <w:rPr>
                <w:rFonts w:ascii="Times New Roman" w:hAnsi="Times New Roman" w:cs="Times New Roman"/>
              </w:rPr>
              <w:t>Audiodeskrypcja</w:t>
            </w:r>
            <w:proofErr w:type="spellEnd"/>
            <w:r w:rsidRPr="00052426">
              <w:rPr>
                <w:rFonts w:ascii="Times New Roman" w:hAnsi="Times New Roman" w:cs="Times New Roman"/>
              </w:rPr>
              <w:t>;</w:t>
            </w:r>
          </w:p>
          <w:p w14:paraId="0B963024"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Eudajmonia;</w:t>
            </w:r>
          </w:p>
          <w:p w14:paraId="1BC193F2"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 xml:space="preserve">Fundacja Fuga </w:t>
            </w:r>
            <w:proofErr w:type="spellStart"/>
            <w:r w:rsidRPr="00052426">
              <w:rPr>
                <w:rFonts w:ascii="Times New Roman" w:hAnsi="Times New Roman" w:cs="Times New Roman"/>
              </w:rPr>
              <w:t>Mundi</w:t>
            </w:r>
            <w:proofErr w:type="spellEnd"/>
            <w:r w:rsidRPr="00052426">
              <w:rPr>
                <w:rFonts w:ascii="Times New Roman" w:hAnsi="Times New Roman" w:cs="Times New Roman"/>
              </w:rPr>
              <w:t>;</w:t>
            </w:r>
          </w:p>
          <w:p w14:paraId="6C556D99"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 xml:space="preserve">Fundacja im. doktora Piotra </w:t>
            </w:r>
            <w:proofErr w:type="spellStart"/>
            <w:r w:rsidRPr="00052426">
              <w:rPr>
                <w:rFonts w:ascii="Times New Roman" w:hAnsi="Times New Roman" w:cs="Times New Roman"/>
              </w:rPr>
              <w:t>Janaszka</w:t>
            </w:r>
            <w:proofErr w:type="spellEnd"/>
            <w:r w:rsidRPr="00052426">
              <w:rPr>
                <w:rFonts w:ascii="Times New Roman" w:hAnsi="Times New Roman" w:cs="Times New Roman"/>
              </w:rPr>
              <w:t xml:space="preserve"> PODAJ DALEJ;</w:t>
            </w:r>
          </w:p>
          <w:p w14:paraId="245A79C0"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INKLUZJA;</w:t>
            </w:r>
          </w:p>
          <w:p w14:paraId="3DFD7545"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Instytut Rozwoju Regionalnego;</w:t>
            </w:r>
          </w:p>
          <w:p w14:paraId="3F88AC96"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KROK PO KROKU;</w:t>
            </w:r>
          </w:p>
          <w:p w14:paraId="7951CC22"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 xml:space="preserve">Fundacja </w:t>
            </w:r>
            <w:proofErr w:type="spellStart"/>
            <w:r w:rsidRPr="00052426">
              <w:rPr>
                <w:rFonts w:ascii="Times New Roman" w:hAnsi="Times New Roman" w:cs="Times New Roman"/>
              </w:rPr>
              <w:t>L’Arche</w:t>
            </w:r>
            <w:proofErr w:type="spellEnd"/>
            <w:r w:rsidRPr="00052426">
              <w:rPr>
                <w:rFonts w:ascii="Times New Roman" w:hAnsi="Times New Roman" w:cs="Times New Roman"/>
              </w:rPr>
              <w:t>;</w:t>
            </w:r>
          </w:p>
          <w:p w14:paraId="521125CB"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 xml:space="preserve">Fundacja Na Rzecz Rozwoju </w:t>
            </w:r>
            <w:proofErr w:type="spellStart"/>
            <w:r w:rsidRPr="00052426">
              <w:rPr>
                <w:rFonts w:ascii="Times New Roman" w:hAnsi="Times New Roman" w:cs="Times New Roman"/>
              </w:rPr>
              <w:t>Audiodeskrypcji</w:t>
            </w:r>
            <w:proofErr w:type="spellEnd"/>
            <w:r w:rsidRPr="00052426">
              <w:rPr>
                <w:rFonts w:ascii="Times New Roman" w:hAnsi="Times New Roman" w:cs="Times New Roman"/>
              </w:rPr>
              <w:t xml:space="preserve"> “KATARYNKA”;</w:t>
            </w:r>
          </w:p>
          <w:p w14:paraId="76E3B6E2"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Pomocy Chorym na Zanik Mięśni;</w:t>
            </w:r>
          </w:p>
          <w:p w14:paraId="18EBE9A6"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Pomocy Młodzieży i Dzieciom Niepełnosprawnym „HEJ, KONIKU!”;</w:t>
            </w:r>
          </w:p>
          <w:p w14:paraId="2D6F4E5C"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 xml:space="preserve">Fundacja </w:t>
            </w:r>
            <w:proofErr w:type="spellStart"/>
            <w:r w:rsidRPr="00052426">
              <w:rPr>
                <w:rFonts w:ascii="Times New Roman" w:hAnsi="Times New Roman" w:cs="Times New Roman"/>
              </w:rPr>
              <w:t>Synapsis</w:t>
            </w:r>
            <w:proofErr w:type="spellEnd"/>
            <w:r w:rsidRPr="00052426">
              <w:rPr>
                <w:rFonts w:ascii="Times New Roman" w:hAnsi="Times New Roman" w:cs="Times New Roman"/>
              </w:rPr>
              <w:t>;</w:t>
            </w:r>
          </w:p>
          <w:p w14:paraId="221DFD16"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Szansa dla Niewidomych;</w:t>
            </w:r>
          </w:p>
          <w:p w14:paraId="7382EA6A"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TUS;</w:t>
            </w:r>
          </w:p>
          <w:p w14:paraId="0067D1E8"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Vis Maior;</w:t>
            </w:r>
          </w:p>
          <w:p w14:paraId="29EC6C40"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Widzialni;</w:t>
            </w:r>
          </w:p>
          <w:p w14:paraId="6E01AB37"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Fundacja Integracja;</w:t>
            </w:r>
          </w:p>
          <w:p w14:paraId="51124EA5"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Katolickie Stowarzyszenie Niepełnosprawnych Archidiecezji Warszawskiej;</w:t>
            </w:r>
          </w:p>
          <w:p w14:paraId="465FFEE9"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Krajowe Towarzystwo Autyzmu;</w:t>
            </w:r>
          </w:p>
          <w:p w14:paraId="6BC30ADB"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Milickie Stowarzyszenie Przyjaciół Dzieci i Osób Niepełnosprawnych;</w:t>
            </w:r>
          </w:p>
          <w:p w14:paraId="34846813"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Polska Fundacja Pomocy Dzieciom Niedosłyszącym –ECHO;</w:t>
            </w:r>
          </w:p>
          <w:p w14:paraId="569965C3"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lastRenderedPageBreak/>
              <w:t>Polski Związek Głuchych;</w:t>
            </w:r>
          </w:p>
          <w:p w14:paraId="55E1C0E8"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Polskie Stowarzyszenie na rzecz Osób z Niepełnosprawnością Intelektualną;</w:t>
            </w:r>
          </w:p>
          <w:p w14:paraId="50B260AB"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Polskie Towarzystwo Stwardnienia Rozsianego;</w:t>
            </w:r>
          </w:p>
          <w:p w14:paraId="66335889"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Polskie Towarzystwo Walki z Kalectwem;</w:t>
            </w:r>
          </w:p>
          <w:p w14:paraId="5AD8667F"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proofErr w:type="spellStart"/>
            <w:r w:rsidRPr="00052426">
              <w:rPr>
                <w:rFonts w:ascii="Times New Roman" w:hAnsi="Times New Roman" w:cs="Times New Roman"/>
              </w:rPr>
              <w:t>Retina</w:t>
            </w:r>
            <w:proofErr w:type="spellEnd"/>
            <w:r w:rsidRPr="00052426">
              <w:rPr>
                <w:rFonts w:ascii="Times New Roman" w:hAnsi="Times New Roman" w:cs="Times New Roman"/>
              </w:rPr>
              <w:t xml:space="preserve"> AMD Polska;</w:t>
            </w:r>
          </w:p>
          <w:p w14:paraId="3AE0F11A"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Spółdzielnia socjalna FADO;</w:t>
            </w:r>
          </w:p>
          <w:p w14:paraId="628E398D"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Stowarzyszenie Kreatywna Polska;</w:t>
            </w:r>
          </w:p>
          <w:p w14:paraId="0542BE87"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Stowarzyszenie na rzecz dzieci i osób z niepełnosprawnością „SZLAKIEM TĘCZY”;</w:t>
            </w:r>
          </w:p>
          <w:p w14:paraId="6C93EE86"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Stowarzyszenie Przyjaciół Dzieci Specjalnej Troski im. Leszka Grajka;</w:t>
            </w:r>
          </w:p>
          <w:p w14:paraId="02326E57"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Stowarzyszenie Rodzin i Opiekunów Osób z Zespołem Downa Bardziej Kochani;</w:t>
            </w:r>
          </w:p>
          <w:p w14:paraId="63BFA332"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Stowarzyszenie SPOZA;</w:t>
            </w:r>
          </w:p>
          <w:p w14:paraId="49E499B8"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Stowarzyszenie Twoje Nowe Możliwości;</w:t>
            </w:r>
          </w:p>
          <w:p w14:paraId="61EA0F8B"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Towarzystwo Opieki nad Ociemniałymi Stowarzyszenie Laski;</w:t>
            </w:r>
          </w:p>
          <w:p w14:paraId="6B633052"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Koalicja na rzecz Osób z Niepełnosprawnością;</w:t>
            </w:r>
          </w:p>
          <w:p w14:paraId="5741980C"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Polskie Forum Osób z Niepełnosprawnościami;</w:t>
            </w:r>
          </w:p>
          <w:p w14:paraId="0A72F1AF"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Polskie Wydawnictwo Naukowe;</w:t>
            </w:r>
          </w:p>
          <w:p w14:paraId="76AE7A92"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Rada Dostępności;</w:t>
            </w:r>
          </w:p>
          <w:p w14:paraId="1EA1357E"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 xml:space="preserve">Stowarzyszenie Doktorantów Prawa Lex </w:t>
            </w:r>
            <w:proofErr w:type="spellStart"/>
            <w:r w:rsidRPr="00052426">
              <w:rPr>
                <w:rFonts w:ascii="Times New Roman" w:hAnsi="Times New Roman" w:cs="Times New Roman"/>
              </w:rPr>
              <w:t>Cracoviensis</w:t>
            </w:r>
            <w:proofErr w:type="spellEnd"/>
            <w:r w:rsidRPr="00052426">
              <w:rPr>
                <w:rFonts w:ascii="Times New Roman" w:hAnsi="Times New Roman" w:cs="Times New Roman"/>
              </w:rPr>
              <w:t>;</w:t>
            </w:r>
          </w:p>
          <w:p w14:paraId="298DDF64"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Biblioteka Narodowa;</w:t>
            </w:r>
          </w:p>
          <w:p w14:paraId="42BFD725"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Centrum Rozwoju Inicjatyw Społecznych CRIS;</w:t>
            </w:r>
          </w:p>
          <w:p w14:paraId="54AD7BC9"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NASK - Państwowy Instytut Badawczy;</w:t>
            </w:r>
          </w:p>
          <w:p w14:paraId="1E72A397"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Naczelna Rada Adwokacka;</w:t>
            </w:r>
          </w:p>
          <w:p w14:paraId="2EFA9BF7"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Narodowy Instytut Muzealnictwa i Ochrony Zbiorów;</w:t>
            </w:r>
          </w:p>
          <w:p w14:paraId="2FBF3DD8" w14:textId="77777777" w:rsid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Polska Izba Informatyki i Telekomunikacji</w:t>
            </w:r>
            <w:r>
              <w:rPr>
                <w:rFonts w:ascii="Times New Roman" w:hAnsi="Times New Roman" w:cs="Times New Roman"/>
              </w:rPr>
              <w:t>;</w:t>
            </w:r>
          </w:p>
          <w:p w14:paraId="4880AA98"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 xml:space="preserve"> Business Centre Club;</w:t>
            </w:r>
          </w:p>
          <w:p w14:paraId="0B1D67DB"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Federacja „Porozumienie Zielonogórskie”;</w:t>
            </w:r>
          </w:p>
          <w:p w14:paraId="0225FFD9"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Federacja Związków Zawodowych Pracowników Telekomunikacji;</w:t>
            </w:r>
          </w:p>
          <w:p w14:paraId="06D4DFA8"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Forum Związków Zawodowych;</w:t>
            </w:r>
          </w:p>
          <w:p w14:paraId="2F94EFE0"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Konfederacja Lewiatan;</w:t>
            </w:r>
          </w:p>
          <w:p w14:paraId="7FC3258D"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NSZZ Solidarność;</w:t>
            </w:r>
          </w:p>
          <w:p w14:paraId="7C848439"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Ogólnopolskie Porozumienie Związków Zawodowych;</w:t>
            </w:r>
          </w:p>
          <w:p w14:paraId="02D179D1"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Pracodawcy RP;</w:t>
            </w:r>
          </w:p>
          <w:p w14:paraId="393B0B30"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Rada Dialogu Społecznego;</w:t>
            </w:r>
          </w:p>
          <w:p w14:paraId="2928F620"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Związek Przedsiębiorców i Pracodawców;</w:t>
            </w:r>
          </w:p>
          <w:p w14:paraId="2376F142" w14:textId="6C38297E"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Pr>
                <w:rFonts w:ascii="Times New Roman" w:hAnsi="Times New Roman" w:cs="Times New Roman"/>
              </w:rPr>
              <w:t>Związek Rzemiosła Polskiego;</w:t>
            </w:r>
          </w:p>
          <w:p w14:paraId="1E9E4EED"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Prezes Urzędu Komunikacji Elektronicznej;</w:t>
            </w:r>
          </w:p>
          <w:p w14:paraId="3A46A9BF"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Prezes Polskiego Komitetu Normalizacyjnego;</w:t>
            </w:r>
          </w:p>
          <w:p w14:paraId="24D7C32F"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Prezes Urzędu Ochrony Konkurencji i Konsumentów;</w:t>
            </w:r>
          </w:p>
          <w:p w14:paraId="0467A3B7"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Narodowy Instytut Muzealnictwa i Ochrony Zbiorów;</w:t>
            </w:r>
          </w:p>
          <w:p w14:paraId="17005B74"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Główny Urząd Statystyczny;</w:t>
            </w:r>
          </w:p>
          <w:p w14:paraId="03C13EEC" w14:textId="77777777"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Zakład Ubezpieczeń Społecznych;</w:t>
            </w:r>
          </w:p>
          <w:p w14:paraId="5F3E30D7" w14:textId="279785AE" w:rsidR="00052426" w:rsidRPr="00052426" w:rsidRDefault="00052426" w:rsidP="00052426">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052426">
              <w:rPr>
                <w:rFonts w:ascii="Times New Roman" w:hAnsi="Times New Roman" w:cs="Times New Roman"/>
              </w:rPr>
              <w:t>Naczelna Dyrekcja Archiwów Państwowych.</w:t>
            </w:r>
          </w:p>
          <w:p w14:paraId="42A10BF7" w14:textId="33FDD6A6" w:rsidR="00216BD4" w:rsidRPr="00FF4E22" w:rsidRDefault="00FF4E22" w:rsidP="00FF4E22">
            <w:pPr>
              <w:pBdr>
                <w:top w:val="nil"/>
                <w:left w:val="nil"/>
                <w:bottom w:val="nil"/>
                <w:right w:val="nil"/>
                <w:between w:val="nil"/>
              </w:pBdr>
              <w:spacing w:after="0" w:line="240" w:lineRule="auto"/>
              <w:jc w:val="both"/>
              <w:rPr>
                <w:rFonts w:ascii="Times New Roman" w:hAnsi="Times New Roman" w:cs="Times New Roman"/>
              </w:rPr>
            </w:pPr>
            <w:r w:rsidRPr="00FF4E22">
              <w:rPr>
                <w:rFonts w:ascii="Times New Roman" w:hAnsi="Times New Roman" w:cs="Times New Roman"/>
              </w:rPr>
              <w:t>Stosownie do art. 5 ustawy z dnia 7 lipca 2005 r. o działalności lobbingowej w procesie stanowienia prawa (Dz. U. z 2017 r. poz. 248) oraz art. 52 § 1 uchwały nr 190 Rady Ministrów z dnia 29 października 2013 r. – Regulamin pracy Rady M</w:t>
            </w:r>
            <w:r w:rsidR="00090A22">
              <w:rPr>
                <w:rFonts w:ascii="Times New Roman" w:hAnsi="Times New Roman" w:cs="Times New Roman"/>
              </w:rPr>
              <w:t>inistrów projekt ustawy zosta</w:t>
            </w:r>
            <w:r w:rsidR="001E6578">
              <w:rPr>
                <w:rFonts w:ascii="Times New Roman" w:hAnsi="Times New Roman" w:cs="Times New Roman"/>
              </w:rPr>
              <w:t>ł</w:t>
            </w:r>
            <w:r w:rsidRPr="00FF4E22">
              <w:rPr>
                <w:rFonts w:ascii="Times New Roman" w:hAnsi="Times New Roman" w:cs="Times New Roman"/>
              </w:rPr>
              <w:t xml:space="preserve"> udostępniony w Biuletynie Informacji Publicznej Rządowego Centrum Legislacji w serwisie Rządowy Proces Legislacyjny.</w:t>
            </w:r>
          </w:p>
          <w:p w14:paraId="3754CEB5" w14:textId="77777777" w:rsidR="00216BD4" w:rsidRPr="00FF4E22" w:rsidRDefault="00216BD4" w:rsidP="00216BD4">
            <w:pPr>
              <w:spacing w:after="0" w:line="240" w:lineRule="auto"/>
              <w:rPr>
                <w:rFonts w:ascii="Times New Roman" w:eastAsia="Times New Roman" w:hAnsi="Times New Roman" w:cs="Times New Roman"/>
                <w:color w:val="000000"/>
                <w:lang w:eastAsia="pl-PL"/>
              </w:rPr>
            </w:pPr>
          </w:p>
        </w:tc>
      </w:tr>
      <w:tr w:rsidR="00216BD4" w:rsidRPr="00216BD4" w14:paraId="7957A4F0" w14:textId="77777777" w:rsidTr="00216BD4">
        <w:trPr>
          <w:trHeight w:val="363"/>
          <w:jc w:val="center"/>
        </w:trPr>
        <w:tc>
          <w:tcPr>
            <w:tcW w:w="10947" w:type="dxa"/>
            <w:gridSpan w:val="29"/>
            <w:shd w:val="clear" w:color="auto" w:fill="99CCFF"/>
            <w:vAlign w:val="center"/>
          </w:tcPr>
          <w:p w14:paraId="2858FFBC" w14:textId="77777777" w:rsidR="00216BD4" w:rsidRPr="00216BD4" w:rsidRDefault="00216BD4" w:rsidP="00216BD4">
            <w:pPr>
              <w:numPr>
                <w:ilvl w:val="0"/>
                <w:numId w:val="3"/>
              </w:numPr>
              <w:pBdr>
                <w:top w:val="nil"/>
                <w:left w:val="nil"/>
                <w:bottom w:val="nil"/>
                <w:right w:val="nil"/>
                <w:between w:val="nil"/>
              </w:pBdr>
              <w:spacing w:before="60" w:after="60" w:line="240" w:lineRule="auto"/>
              <w:ind w:left="318" w:hanging="284"/>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lastRenderedPageBreak/>
              <w:t xml:space="preserve"> Wpływ na sektor finansów publicznych</w:t>
            </w:r>
          </w:p>
        </w:tc>
      </w:tr>
      <w:tr w:rsidR="00216BD4" w:rsidRPr="00216BD4" w14:paraId="043415AD" w14:textId="77777777" w:rsidTr="00216BD4">
        <w:trPr>
          <w:trHeight w:val="142"/>
          <w:jc w:val="center"/>
        </w:trPr>
        <w:tc>
          <w:tcPr>
            <w:tcW w:w="3133" w:type="dxa"/>
            <w:gridSpan w:val="4"/>
            <w:vMerge w:val="restart"/>
            <w:shd w:val="clear" w:color="auto" w:fill="FFFFFF"/>
          </w:tcPr>
          <w:p w14:paraId="325F7CA1" w14:textId="77777777" w:rsidR="00216BD4" w:rsidRPr="00216BD4" w:rsidRDefault="00216BD4" w:rsidP="00216BD4">
            <w:pPr>
              <w:pBdr>
                <w:top w:val="nil"/>
                <w:left w:val="nil"/>
                <w:bottom w:val="nil"/>
                <w:right w:val="nil"/>
                <w:between w:val="nil"/>
              </w:pBdr>
              <w:spacing w:before="40" w:after="40" w:line="276"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(ceny stałe z …… r.)</w:t>
            </w:r>
          </w:p>
        </w:tc>
        <w:tc>
          <w:tcPr>
            <w:tcW w:w="7814" w:type="dxa"/>
            <w:gridSpan w:val="25"/>
            <w:shd w:val="clear" w:color="auto" w:fill="FFFFFF"/>
          </w:tcPr>
          <w:p w14:paraId="143D06A1" w14:textId="77777777" w:rsidR="00216BD4" w:rsidRPr="00216BD4" w:rsidRDefault="00216BD4" w:rsidP="00216BD4">
            <w:pPr>
              <w:pBdr>
                <w:top w:val="nil"/>
                <w:left w:val="nil"/>
                <w:bottom w:val="nil"/>
                <w:right w:val="nil"/>
                <w:between w:val="nil"/>
              </w:pBdr>
              <w:spacing w:before="40" w:after="4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Skutki w okresie 10 lat od wejścia w życie zmian [mln zł]</w:t>
            </w:r>
          </w:p>
        </w:tc>
      </w:tr>
      <w:tr w:rsidR="00216BD4" w:rsidRPr="00216BD4" w14:paraId="32FAE05E" w14:textId="77777777" w:rsidTr="00216BD4">
        <w:trPr>
          <w:trHeight w:val="142"/>
          <w:jc w:val="center"/>
        </w:trPr>
        <w:tc>
          <w:tcPr>
            <w:tcW w:w="3133" w:type="dxa"/>
            <w:gridSpan w:val="4"/>
            <w:vMerge/>
            <w:shd w:val="clear" w:color="auto" w:fill="FFFFFF"/>
          </w:tcPr>
          <w:p w14:paraId="5D303063" w14:textId="77777777" w:rsidR="00216BD4" w:rsidRPr="00216BD4" w:rsidRDefault="00216BD4" w:rsidP="00216B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p>
        </w:tc>
        <w:tc>
          <w:tcPr>
            <w:tcW w:w="569" w:type="dxa"/>
            <w:gridSpan w:val="2"/>
            <w:shd w:val="clear" w:color="auto" w:fill="FFFFFF"/>
          </w:tcPr>
          <w:p w14:paraId="1CBD3C0E"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2B5A2C1"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1</w:t>
            </w:r>
          </w:p>
        </w:tc>
        <w:tc>
          <w:tcPr>
            <w:tcW w:w="570" w:type="dxa"/>
            <w:gridSpan w:val="2"/>
            <w:shd w:val="clear" w:color="auto" w:fill="FFFFFF"/>
          </w:tcPr>
          <w:p w14:paraId="2D318C66"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2</w:t>
            </w:r>
          </w:p>
        </w:tc>
        <w:tc>
          <w:tcPr>
            <w:tcW w:w="569" w:type="dxa"/>
            <w:gridSpan w:val="3"/>
            <w:shd w:val="clear" w:color="auto" w:fill="FFFFFF"/>
          </w:tcPr>
          <w:p w14:paraId="60E3E711"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3</w:t>
            </w:r>
          </w:p>
        </w:tc>
        <w:tc>
          <w:tcPr>
            <w:tcW w:w="570" w:type="dxa"/>
            <w:gridSpan w:val="2"/>
            <w:shd w:val="clear" w:color="auto" w:fill="FFFFFF"/>
          </w:tcPr>
          <w:p w14:paraId="222451FE"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4</w:t>
            </w:r>
          </w:p>
        </w:tc>
        <w:tc>
          <w:tcPr>
            <w:tcW w:w="570" w:type="dxa"/>
            <w:shd w:val="clear" w:color="auto" w:fill="FFFFFF"/>
          </w:tcPr>
          <w:p w14:paraId="666A3671"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5</w:t>
            </w:r>
          </w:p>
        </w:tc>
        <w:tc>
          <w:tcPr>
            <w:tcW w:w="570" w:type="dxa"/>
            <w:gridSpan w:val="3"/>
            <w:shd w:val="clear" w:color="auto" w:fill="FFFFFF"/>
          </w:tcPr>
          <w:p w14:paraId="13B77D99"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6</w:t>
            </w:r>
          </w:p>
        </w:tc>
        <w:tc>
          <w:tcPr>
            <w:tcW w:w="569" w:type="dxa"/>
            <w:gridSpan w:val="3"/>
            <w:shd w:val="clear" w:color="auto" w:fill="FFFFFF"/>
          </w:tcPr>
          <w:p w14:paraId="015A0352"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7</w:t>
            </w:r>
          </w:p>
        </w:tc>
        <w:tc>
          <w:tcPr>
            <w:tcW w:w="570" w:type="dxa"/>
            <w:gridSpan w:val="2"/>
            <w:shd w:val="clear" w:color="auto" w:fill="FFFFFF"/>
          </w:tcPr>
          <w:p w14:paraId="753DFEC2"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8</w:t>
            </w:r>
          </w:p>
        </w:tc>
        <w:tc>
          <w:tcPr>
            <w:tcW w:w="570" w:type="dxa"/>
            <w:gridSpan w:val="2"/>
            <w:shd w:val="clear" w:color="auto" w:fill="FFFFFF"/>
          </w:tcPr>
          <w:p w14:paraId="66634B7E"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9</w:t>
            </w:r>
          </w:p>
        </w:tc>
        <w:tc>
          <w:tcPr>
            <w:tcW w:w="570" w:type="dxa"/>
            <w:shd w:val="clear" w:color="auto" w:fill="FFFFFF"/>
          </w:tcPr>
          <w:p w14:paraId="0A53FF43"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10</w:t>
            </w:r>
          </w:p>
        </w:tc>
        <w:tc>
          <w:tcPr>
            <w:tcW w:w="1547" w:type="dxa"/>
            <w:gridSpan w:val="2"/>
            <w:shd w:val="clear" w:color="auto" w:fill="FFFFFF"/>
          </w:tcPr>
          <w:p w14:paraId="537462B0" w14:textId="77777777" w:rsidR="00216BD4" w:rsidRPr="00216BD4" w:rsidRDefault="00216BD4" w:rsidP="00216BD4">
            <w:pPr>
              <w:pBdr>
                <w:top w:val="nil"/>
                <w:left w:val="nil"/>
                <w:bottom w:val="nil"/>
                <w:right w:val="nil"/>
                <w:between w:val="nil"/>
              </w:pBdr>
              <w:spacing w:before="40" w:after="4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i/>
                <w:color w:val="000000"/>
                <w:sz w:val="21"/>
                <w:szCs w:val="21"/>
                <w:lang w:eastAsia="pl-PL"/>
              </w:rPr>
              <w:t>Łącznie (0-10)</w:t>
            </w:r>
          </w:p>
        </w:tc>
      </w:tr>
      <w:tr w:rsidR="00216BD4" w:rsidRPr="00216BD4" w14:paraId="440C9C0B" w14:textId="77777777" w:rsidTr="00216BD4">
        <w:trPr>
          <w:trHeight w:val="321"/>
          <w:jc w:val="center"/>
        </w:trPr>
        <w:tc>
          <w:tcPr>
            <w:tcW w:w="3133" w:type="dxa"/>
            <w:gridSpan w:val="4"/>
            <w:shd w:val="clear" w:color="auto" w:fill="FFFFFF"/>
            <w:vAlign w:val="center"/>
          </w:tcPr>
          <w:p w14:paraId="5D7E353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b/>
                <w:color w:val="000000"/>
                <w:sz w:val="21"/>
                <w:szCs w:val="21"/>
                <w:lang w:eastAsia="pl-PL"/>
              </w:rPr>
              <w:lastRenderedPageBreak/>
              <w:t>Dochody ogółem</w:t>
            </w:r>
          </w:p>
        </w:tc>
        <w:tc>
          <w:tcPr>
            <w:tcW w:w="569" w:type="dxa"/>
            <w:gridSpan w:val="2"/>
            <w:shd w:val="clear" w:color="auto" w:fill="FFFFFF"/>
          </w:tcPr>
          <w:p w14:paraId="4DCD3CC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5A0788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83D9B2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3E76108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26480A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74A770C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569FAA9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466114C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1567555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38428B4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6BE703D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188BBE3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0C3CC460" w14:textId="77777777" w:rsidTr="00216BD4">
        <w:trPr>
          <w:trHeight w:val="321"/>
          <w:jc w:val="center"/>
        </w:trPr>
        <w:tc>
          <w:tcPr>
            <w:tcW w:w="3133" w:type="dxa"/>
            <w:gridSpan w:val="4"/>
            <w:shd w:val="clear" w:color="auto" w:fill="FFFFFF"/>
            <w:vAlign w:val="center"/>
          </w:tcPr>
          <w:p w14:paraId="32CB32F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budżet państwa</w:t>
            </w:r>
          </w:p>
        </w:tc>
        <w:tc>
          <w:tcPr>
            <w:tcW w:w="569" w:type="dxa"/>
            <w:gridSpan w:val="2"/>
            <w:shd w:val="clear" w:color="auto" w:fill="FFFFFF"/>
          </w:tcPr>
          <w:p w14:paraId="386E962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582418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71180A0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42461E7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170B866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302F3E8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1F7FCF7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0545CD3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61DE5C1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A7EF50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638A18B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43E390F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02A7152D" w14:textId="77777777" w:rsidTr="00216BD4">
        <w:trPr>
          <w:trHeight w:val="344"/>
          <w:jc w:val="center"/>
        </w:trPr>
        <w:tc>
          <w:tcPr>
            <w:tcW w:w="3133" w:type="dxa"/>
            <w:gridSpan w:val="4"/>
            <w:shd w:val="clear" w:color="auto" w:fill="FFFFFF"/>
            <w:vAlign w:val="center"/>
          </w:tcPr>
          <w:p w14:paraId="1246414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JST</w:t>
            </w:r>
          </w:p>
        </w:tc>
        <w:tc>
          <w:tcPr>
            <w:tcW w:w="569" w:type="dxa"/>
            <w:gridSpan w:val="2"/>
            <w:shd w:val="clear" w:color="auto" w:fill="FFFFFF"/>
          </w:tcPr>
          <w:p w14:paraId="2C43600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FC752C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CBF16D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19DB6C8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11DF42A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3D0C985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273D511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765CD97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63106D1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836261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205FD0D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16DBA07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766F1D5C" w14:textId="77777777" w:rsidTr="00216BD4">
        <w:trPr>
          <w:trHeight w:val="344"/>
          <w:jc w:val="center"/>
        </w:trPr>
        <w:tc>
          <w:tcPr>
            <w:tcW w:w="3133" w:type="dxa"/>
            <w:gridSpan w:val="4"/>
            <w:shd w:val="clear" w:color="auto" w:fill="FFFFFF"/>
            <w:vAlign w:val="center"/>
          </w:tcPr>
          <w:p w14:paraId="5EE4181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pozostałe jednostki (oddzielnie)</w:t>
            </w:r>
          </w:p>
        </w:tc>
        <w:tc>
          <w:tcPr>
            <w:tcW w:w="569" w:type="dxa"/>
            <w:gridSpan w:val="2"/>
            <w:shd w:val="clear" w:color="auto" w:fill="FFFFFF"/>
          </w:tcPr>
          <w:p w14:paraId="6F7C314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A7B26E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318FD85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766C31F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FC5A3D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4C2AC06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1F24E93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6613D81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255E6E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48767F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69AC058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075C2E7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4659D236" w14:textId="77777777" w:rsidTr="00216BD4">
        <w:trPr>
          <w:trHeight w:val="330"/>
          <w:jc w:val="center"/>
        </w:trPr>
        <w:tc>
          <w:tcPr>
            <w:tcW w:w="3133" w:type="dxa"/>
            <w:gridSpan w:val="4"/>
            <w:shd w:val="clear" w:color="auto" w:fill="FFFFFF"/>
            <w:vAlign w:val="center"/>
          </w:tcPr>
          <w:p w14:paraId="1FC650F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b/>
                <w:color w:val="000000"/>
                <w:sz w:val="21"/>
                <w:szCs w:val="21"/>
                <w:lang w:eastAsia="pl-PL"/>
              </w:rPr>
              <w:t>Wydatki ogółem</w:t>
            </w:r>
          </w:p>
        </w:tc>
        <w:tc>
          <w:tcPr>
            <w:tcW w:w="569" w:type="dxa"/>
            <w:gridSpan w:val="2"/>
            <w:shd w:val="clear" w:color="auto" w:fill="FFFFFF"/>
          </w:tcPr>
          <w:p w14:paraId="161D58B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7EE152C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5315E2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71F5F17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33DEA6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7957436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23C2485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6F5D6AA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6DD13B9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EE90A0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1D3231C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29ABFEC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2C28EE9B" w14:textId="77777777" w:rsidTr="00216BD4">
        <w:trPr>
          <w:trHeight w:val="330"/>
          <w:jc w:val="center"/>
        </w:trPr>
        <w:tc>
          <w:tcPr>
            <w:tcW w:w="3133" w:type="dxa"/>
            <w:gridSpan w:val="4"/>
            <w:shd w:val="clear" w:color="auto" w:fill="FFFFFF"/>
            <w:vAlign w:val="center"/>
          </w:tcPr>
          <w:p w14:paraId="7EE24B1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budżet państwa</w:t>
            </w:r>
          </w:p>
        </w:tc>
        <w:tc>
          <w:tcPr>
            <w:tcW w:w="569" w:type="dxa"/>
            <w:gridSpan w:val="2"/>
            <w:shd w:val="clear" w:color="auto" w:fill="FFFFFF"/>
          </w:tcPr>
          <w:p w14:paraId="4A688E2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8220FF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3DCB272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35A92A3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35C5DBF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02949E5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1A8A98D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52163CE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3A2B881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3310C53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256A367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76B8D74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29408645" w14:textId="77777777" w:rsidTr="00216BD4">
        <w:trPr>
          <w:trHeight w:val="351"/>
          <w:jc w:val="center"/>
        </w:trPr>
        <w:tc>
          <w:tcPr>
            <w:tcW w:w="3133" w:type="dxa"/>
            <w:gridSpan w:val="4"/>
            <w:shd w:val="clear" w:color="auto" w:fill="FFFFFF"/>
            <w:vAlign w:val="center"/>
          </w:tcPr>
          <w:p w14:paraId="3956825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JST</w:t>
            </w:r>
          </w:p>
        </w:tc>
        <w:tc>
          <w:tcPr>
            <w:tcW w:w="569" w:type="dxa"/>
            <w:gridSpan w:val="2"/>
            <w:shd w:val="clear" w:color="auto" w:fill="FFFFFF"/>
          </w:tcPr>
          <w:p w14:paraId="46D3B2E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42840E1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F1D094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77F8E35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23693E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22D5560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6D52BC4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1A0D2F2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6D5E84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73C6C6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4417238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46BBAF4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2B2FB688" w14:textId="77777777" w:rsidTr="00216BD4">
        <w:trPr>
          <w:trHeight w:val="351"/>
          <w:jc w:val="center"/>
        </w:trPr>
        <w:tc>
          <w:tcPr>
            <w:tcW w:w="3133" w:type="dxa"/>
            <w:gridSpan w:val="4"/>
            <w:shd w:val="clear" w:color="auto" w:fill="FFFFFF"/>
            <w:vAlign w:val="center"/>
          </w:tcPr>
          <w:p w14:paraId="2B6BDD7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pozostałe jednostki (oddzielnie)</w:t>
            </w:r>
          </w:p>
        </w:tc>
        <w:tc>
          <w:tcPr>
            <w:tcW w:w="569" w:type="dxa"/>
            <w:gridSpan w:val="2"/>
            <w:shd w:val="clear" w:color="auto" w:fill="FFFFFF"/>
          </w:tcPr>
          <w:p w14:paraId="641C9E6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38F5FD1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4FFBE24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0D24A61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204BA9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1A7609F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3D6938E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08B8A62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ECBBEE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96854E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128CF9D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455A104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57278CF2" w14:textId="77777777" w:rsidTr="00216BD4">
        <w:trPr>
          <w:trHeight w:val="360"/>
          <w:jc w:val="center"/>
        </w:trPr>
        <w:tc>
          <w:tcPr>
            <w:tcW w:w="3133" w:type="dxa"/>
            <w:gridSpan w:val="4"/>
            <w:shd w:val="clear" w:color="auto" w:fill="FFFFFF"/>
            <w:vAlign w:val="center"/>
          </w:tcPr>
          <w:p w14:paraId="607A5C7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b/>
                <w:color w:val="000000"/>
                <w:sz w:val="21"/>
                <w:szCs w:val="21"/>
                <w:lang w:eastAsia="pl-PL"/>
              </w:rPr>
              <w:t>Saldo ogółem</w:t>
            </w:r>
          </w:p>
        </w:tc>
        <w:tc>
          <w:tcPr>
            <w:tcW w:w="569" w:type="dxa"/>
            <w:gridSpan w:val="2"/>
            <w:shd w:val="clear" w:color="auto" w:fill="FFFFFF"/>
          </w:tcPr>
          <w:p w14:paraId="513A31F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409CEBA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F08AA8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6A83B0F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92A154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3E80360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57A5FC4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15CBA65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40B9A8E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D90A5F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213ADF1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6A8DA60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15F3BE51" w14:textId="77777777" w:rsidTr="00216BD4">
        <w:trPr>
          <w:trHeight w:val="360"/>
          <w:jc w:val="center"/>
        </w:trPr>
        <w:tc>
          <w:tcPr>
            <w:tcW w:w="3133" w:type="dxa"/>
            <w:gridSpan w:val="4"/>
            <w:shd w:val="clear" w:color="auto" w:fill="FFFFFF"/>
            <w:vAlign w:val="center"/>
          </w:tcPr>
          <w:p w14:paraId="23570C6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budżet państwa</w:t>
            </w:r>
          </w:p>
        </w:tc>
        <w:tc>
          <w:tcPr>
            <w:tcW w:w="569" w:type="dxa"/>
            <w:gridSpan w:val="2"/>
            <w:shd w:val="clear" w:color="auto" w:fill="FFFFFF"/>
          </w:tcPr>
          <w:p w14:paraId="5D83F29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9FE213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154BE6D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1BE4572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1EFFC6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0EB2228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62E46B1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6FED327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79B5C24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4CEB809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01B1673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0DD0951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08B76437" w14:textId="77777777" w:rsidTr="00216BD4">
        <w:trPr>
          <w:trHeight w:val="357"/>
          <w:jc w:val="center"/>
        </w:trPr>
        <w:tc>
          <w:tcPr>
            <w:tcW w:w="3133" w:type="dxa"/>
            <w:gridSpan w:val="4"/>
            <w:shd w:val="clear" w:color="auto" w:fill="FFFFFF"/>
            <w:vAlign w:val="center"/>
          </w:tcPr>
          <w:p w14:paraId="42D8EDB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JST</w:t>
            </w:r>
          </w:p>
        </w:tc>
        <w:tc>
          <w:tcPr>
            <w:tcW w:w="569" w:type="dxa"/>
            <w:gridSpan w:val="2"/>
            <w:shd w:val="clear" w:color="auto" w:fill="FFFFFF"/>
          </w:tcPr>
          <w:p w14:paraId="17233EA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3E2630C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A29318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795E0AF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7D6A5E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70A76D8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6222A3D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65F5805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1649A41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2298E7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2F4BC30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08859BD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5537FA1D" w14:textId="77777777" w:rsidTr="00216BD4">
        <w:trPr>
          <w:trHeight w:val="357"/>
          <w:jc w:val="center"/>
        </w:trPr>
        <w:tc>
          <w:tcPr>
            <w:tcW w:w="3133" w:type="dxa"/>
            <w:gridSpan w:val="4"/>
            <w:shd w:val="clear" w:color="auto" w:fill="FFFFFF"/>
            <w:vAlign w:val="center"/>
          </w:tcPr>
          <w:p w14:paraId="7E8C49C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pozostałe jednostki (oddzielnie)</w:t>
            </w:r>
          </w:p>
        </w:tc>
        <w:tc>
          <w:tcPr>
            <w:tcW w:w="569" w:type="dxa"/>
            <w:gridSpan w:val="2"/>
            <w:shd w:val="clear" w:color="auto" w:fill="FFFFFF"/>
          </w:tcPr>
          <w:p w14:paraId="66F823A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87D746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FE72AA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425BE19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59EB56E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347169A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3"/>
            <w:shd w:val="clear" w:color="auto" w:fill="FFFFFF"/>
          </w:tcPr>
          <w:p w14:paraId="7DEE288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69" w:type="dxa"/>
            <w:gridSpan w:val="3"/>
            <w:shd w:val="clear" w:color="auto" w:fill="FFFFFF"/>
          </w:tcPr>
          <w:p w14:paraId="34963B4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026D0A7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gridSpan w:val="2"/>
            <w:shd w:val="clear" w:color="auto" w:fill="FFFFFF"/>
          </w:tcPr>
          <w:p w14:paraId="2C36E10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570" w:type="dxa"/>
            <w:shd w:val="clear" w:color="auto" w:fill="FFFFFF"/>
          </w:tcPr>
          <w:p w14:paraId="5064928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1547" w:type="dxa"/>
            <w:gridSpan w:val="2"/>
            <w:shd w:val="clear" w:color="auto" w:fill="FFFFFF"/>
          </w:tcPr>
          <w:p w14:paraId="3D57327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r>
      <w:tr w:rsidR="00216BD4" w:rsidRPr="00216BD4" w14:paraId="1226B260" w14:textId="77777777" w:rsidTr="00216BD4">
        <w:trPr>
          <w:trHeight w:val="767"/>
          <w:jc w:val="center"/>
        </w:trPr>
        <w:tc>
          <w:tcPr>
            <w:tcW w:w="2243" w:type="dxa"/>
            <w:gridSpan w:val="2"/>
            <w:shd w:val="clear" w:color="auto" w:fill="FFFFFF"/>
            <w:vAlign w:val="center"/>
          </w:tcPr>
          <w:p w14:paraId="5F83002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 xml:space="preserve">Źródła finansowania </w:t>
            </w:r>
          </w:p>
        </w:tc>
        <w:tc>
          <w:tcPr>
            <w:tcW w:w="8704" w:type="dxa"/>
            <w:gridSpan w:val="27"/>
            <w:shd w:val="clear" w:color="auto" w:fill="FFFFFF"/>
            <w:vAlign w:val="center"/>
          </w:tcPr>
          <w:p w14:paraId="3FAAAFC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Calibri" w:hAnsi="Times New Roman" w:cs="Times New Roman"/>
                <w:color w:val="000000"/>
                <w:lang w:eastAsia="pl-PL"/>
              </w:rPr>
              <w:t>Wejście w życie projektowanych zmian ustawy nie spowoduje skutków dla sektora finansów publicznych, w tym dochodów i wydatków budżetu państwa oraz jednostek samorządu terytorialnego.</w:t>
            </w:r>
          </w:p>
        </w:tc>
      </w:tr>
      <w:tr w:rsidR="00216BD4" w:rsidRPr="00216BD4" w14:paraId="4C854CD7" w14:textId="77777777" w:rsidTr="00216BD4">
        <w:trPr>
          <w:jc w:val="center"/>
        </w:trPr>
        <w:tc>
          <w:tcPr>
            <w:tcW w:w="2243" w:type="dxa"/>
            <w:gridSpan w:val="2"/>
            <w:shd w:val="clear" w:color="auto" w:fill="FFFFFF"/>
          </w:tcPr>
          <w:p w14:paraId="7195C61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Dodatkowe informacje, w tym wskazanie źródeł danych i przyjętych do obliczeń założeń</w:t>
            </w:r>
          </w:p>
        </w:tc>
        <w:tc>
          <w:tcPr>
            <w:tcW w:w="8704" w:type="dxa"/>
            <w:gridSpan w:val="27"/>
            <w:shd w:val="clear" w:color="auto" w:fill="FFFFFF"/>
          </w:tcPr>
          <w:p w14:paraId="19DE646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p w14:paraId="03BEDF3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Nie dotyczy.</w:t>
            </w:r>
            <w:r w:rsidRPr="00216BD4" w:rsidDel="00FE23DD">
              <w:rPr>
                <w:rFonts w:ascii="Times New Roman" w:eastAsia="Times New Roman" w:hAnsi="Times New Roman" w:cs="Times New Roman"/>
                <w:color w:val="000000"/>
                <w:sz w:val="21"/>
                <w:szCs w:val="21"/>
                <w:lang w:eastAsia="pl-PL"/>
              </w:rPr>
              <w:t xml:space="preserve"> </w:t>
            </w:r>
          </w:p>
        </w:tc>
      </w:tr>
      <w:tr w:rsidR="00216BD4" w:rsidRPr="00216BD4" w14:paraId="5F7B9052" w14:textId="77777777" w:rsidTr="00216BD4">
        <w:trPr>
          <w:trHeight w:val="345"/>
          <w:jc w:val="center"/>
        </w:trPr>
        <w:tc>
          <w:tcPr>
            <w:tcW w:w="10947" w:type="dxa"/>
            <w:gridSpan w:val="29"/>
            <w:shd w:val="clear" w:color="auto" w:fill="99CCFF"/>
          </w:tcPr>
          <w:p w14:paraId="30E1BF7B" w14:textId="77777777" w:rsidR="00216BD4" w:rsidRPr="00216BD4" w:rsidRDefault="00216BD4" w:rsidP="00216BD4">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 xml:space="preserve">Wpływ na konkurencyjność gospodarki i przedsiębiorczość, w tym funkcjonowanie przedsiębiorców oraz na rodzinę, obywateli i gospodarstwa domowe </w:t>
            </w:r>
          </w:p>
        </w:tc>
      </w:tr>
      <w:tr w:rsidR="00216BD4" w:rsidRPr="00216BD4" w14:paraId="54B200C6" w14:textId="77777777" w:rsidTr="00216BD4">
        <w:trPr>
          <w:trHeight w:val="142"/>
          <w:jc w:val="center"/>
        </w:trPr>
        <w:tc>
          <w:tcPr>
            <w:tcW w:w="10947" w:type="dxa"/>
            <w:gridSpan w:val="29"/>
            <w:shd w:val="clear" w:color="auto" w:fill="FFFFFF"/>
          </w:tcPr>
          <w:p w14:paraId="225C944D"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Skutki</w:t>
            </w:r>
          </w:p>
        </w:tc>
      </w:tr>
      <w:tr w:rsidR="00216BD4" w:rsidRPr="00216BD4" w14:paraId="385C218D" w14:textId="77777777" w:rsidTr="00216BD4">
        <w:trPr>
          <w:trHeight w:val="142"/>
          <w:jc w:val="center"/>
        </w:trPr>
        <w:tc>
          <w:tcPr>
            <w:tcW w:w="3889" w:type="dxa"/>
            <w:gridSpan w:val="7"/>
            <w:shd w:val="clear" w:color="auto" w:fill="FFFFFF"/>
          </w:tcPr>
          <w:p w14:paraId="4BD48B9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Czas w latach od wejścia w życie zmian</w:t>
            </w:r>
          </w:p>
        </w:tc>
        <w:tc>
          <w:tcPr>
            <w:tcW w:w="937" w:type="dxa"/>
            <w:gridSpan w:val="2"/>
            <w:shd w:val="clear" w:color="auto" w:fill="FFFFFF"/>
          </w:tcPr>
          <w:p w14:paraId="33FCDE27"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0</w:t>
            </w:r>
          </w:p>
        </w:tc>
        <w:tc>
          <w:tcPr>
            <w:tcW w:w="938" w:type="dxa"/>
            <w:gridSpan w:val="5"/>
            <w:shd w:val="clear" w:color="auto" w:fill="FFFFFF"/>
          </w:tcPr>
          <w:p w14:paraId="06E34906"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1</w:t>
            </w:r>
          </w:p>
        </w:tc>
        <w:tc>
          <w:tcPr>
            <w:tcW w:w="938" w:type="dxa"/>
            <w:gridSpan w:val="4"/>
            <w:shd w:val="clear" w:color="auto" w:fill="FFFFFF"/>
          </w:tcPr>
          <w:p w14:paraId="58753043"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2</w:t>
            </w:r>
          </w:p>
        </w:tc>
        <w:tc>
          <w:tcPr>
            <w:tcW w:w="937" w:type="dxa"/>
            <w:gridSpan w:val="3"/>
            <w:shd w:val="clear" w:color="auto" w:fill="FFFFFF"/>
          </w:tcPr>
          <w:p w14:paraId="22C96650"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3</w:t>
            </w:r>
          </w:p>
        </w:tc>
        <w:tc>
          <w:tcPr>
            <w:tcW w:w="938" w:type="dxa"/>
            <w:gridSpan w:val="4"/>
            <w:shd w:val="clear" w:color="auto" w:fill="FFFFFF"/>
          </w:tcPr>
          <w:p w14:paraId="2366DB17"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5</w:t>
            </w:r>
          </w:p>
        </w:tc>
        <w:tc>
          <w:tcPr>
            <w:tcW w:w="938" w:type="dxa"/>
            <w:gridSpan w:val="3"/>
            <w:shd w:val="clear" w:color="auto" w:fill="FFFFFF"/>
          </w:tcPr>
          <w:p w14:paraId="3BEFB488"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10</w:t>
            </w:r>
          </w:p>
        </w:tc>
        <w:tc>
          <w:tcPr>
            <w:tcW w:w="1432" w:type="dxa"/>
            <w:shd w:val="clear" w:color="auto" w:fill="FFFFFF"/>
          </w:tcPr>
          <w:p w14:paraId="75EDA191" w14:textId="77777777" w:rsidR="00216BD4" w:rsidRPr="00216BD4" w:rsidRDefault="00216BD4" w:rsidP="00216BD4">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i/>
                <w:color w:val="000000"/>
                <w:sz w:val="21"/>
                <w:szCs w:val="21"/>
                <w:lang w:eastAsia="pl-PL"/>
              </w:rPr>
              <w:t>Łącznie (0-10)</w:t>
            </w:r>
          </w:p>
        </w:tc>
      </w:tr>
      <w:tr w:rsidR="00216BD4" w:rsidRPr="00216BD4" w14:paraId="787AEC55" w14:textId="77777777" w:rsidTr="00216BD4">
        <w:trPr>
          <w:trHeight w:val="142"/>
          <w:jc w:val="center"/>
        </w:trPr>
        <w:tc>
          <w:tcPr>
            <w:tcW w:w="1596" w:type="dxa"/>
            <w:vMerge w:val="restart"/>
            <w:shd w:val="clear" w:color="auto" w:fill="FFFFFF"/>
          </w:tcPr>
          <w:p w14:paraId="417FEB06" w14:textId="77777777" w:rsidR="00216BD4" w:rsidRPr="00216BD4" w:rsidRDefault="00216BD4" w:rsidP="00216BD4">
            <w:pPr>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W ujęciu pieniężnym</w:t>
            </w:r>
          </w:p>
          <w:p w14:paraId="636825FC" w14:textId="77777777" w:rsidR="00216BD4" w:rsidRPr="00216BD4" w:rsidRDefault="00216BD4" w:rsidP="00216BD4">
            <w:pPr>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 xml:space="preserve">(w mln zł, </w:t>
            </w:r>
          </w:p>
          <w:p w14:paraId="2D862876"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ceny stałe z …… r.)</w:t>
            </w:r>
          </w:p>
        </w:tc>
        <w:tc>
          <w:tcPr>
            <w:tcW w:w="2293" w:type="dxa"/>
            <w:gridSpan w:val="6"/>
            <w:shd w:val="clear" w:color="auto" w:fill="FFFFFF"/>
          </w:tcPr>
          <w:p w14:paraId="0ECB10A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duże przedsiębiorstwa</w:t>
            </w:r>
          </w:p>
        </w:tc>
        <w:tc>
          <w:tcPr>
            <w:tcW w:w="937" w:type="dxa"/>
            <w:gridSpan w:val="2"/>
            <w:shd w:val="clear" w:color="auto" w:fill="FFFFFF"/>
          </w:tcPr>
          <w:p w14:paraId="1F49E18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5"/>
            <w:shd w:val="clear" w:color="auto" w:fill="FFFFFF"/>
          </w:tcPr>
          <w:p w14:paraId="705EE21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4"/>
            <w:shd w:val="clear" w:color="auto" w:fill="FFFFFF"/>
          </w:tcPr>
          <w:p w14:paraId="0314A6F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7" w:type="dxa"/>
            <w:gridSpan w:val="3"/>
            <w:shd w:val="clear" w:color="auto" w:fill="FFFFFF"/>
          </w:tcPr>
          <w:p w14:paraId="4A54EE2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4"/>
            <w:shd w:val="clear" w:color="auto" w:fill="FFFFFF"/>
          </w:tcPr>
          <w:p w14:paraId="3741F58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3"/>
            <w:shd w:val="clear" w:color="auto" w:fill="FFFFFF"/>
          </w:tcPr>
          <w:p w14:paraId="78757AA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1432" w:type="dxa"/>
            <w:shd w:val="clear" w:color="auto" w:fill="FFFFFF"/>
          </w:tcPr>
          <w:p w14:paraId="4DEF82D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r>
      <w:tr w:rsidR="00216BD4" w:rsidRPr="00216BD4" w14:paraId="0F560295" w14:textId="77777777" w:rsidTr="00216BD4">
        <w:trPr>
          <w:trHeight w:val="142"/>
          <w:jc w:val="center"/>
        </w:trPr>
        <w:tc>
          <w:tcPr>
            <w:tcW w:w="1596" w:type="dxa"/>
            <w:vMerge/>
            <w:shd w:val="clear" w:color="auto" w:fill="FFFFFF"/>
          </w:tcPr>
          <w:p w14:paraId="1EC9799C" w14:textId="77777777" w:rsidR="00216BD4" w:rsidRPr="00216BD4" w:rsidRDefault="00216BD4" w:rsidP="00216B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p>
        </w:tc>
        <w:tc>
          <w:tcPr>
            <w:tcW w:w="2293" w:type="dxa"/>
            <w:gridSpan w:val="6"/>
            <w:shd w:val="clear" w:color="auto" w:fill="FFFFFF"/>
          </w:tcPr>
          <w:p w14:paraId="324B0B8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sektor mikro-, małych i średnich przedsiębiorstw</w:t>
            </w:r>
          </w:p>
        </w:tc>
        <w:tc>
          <w:tcPr>
            <w:tcW w:w="937" w:type="dxa"/>
            <w:gridSpan w:val="2"/>
            <w:shd w:val="clear" w:color="auto" w:fill="FFFFFF"/>
          </w:tcPr>
          <w:p w14:paraId="0406C45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5"/>
            <w:shd w:val="clear" w:color="auto" w:fill="FFFFFF"/>
          </w:tcPr>
          <w:p w14:paraId="12A7063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4"/>
            <w:shd w:val="clear" w:color="auto" w:fill="FFFFFF"/>
          </w:tcPr>
          <w:p w14:paraId="2CA61FD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7" w:type="dxa"/>
            <w:gridSpan w:val="3"/>
            <w:shd w:val="clear" w:color="auto" w:fill="FFFFFF"/>
          </w:tcPr>
          <w:p w14:paraId="7C1FFC8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4"/>
            <w:shd w:val="clear" w:color="auto" w:fill="FFFFFF"/>
          </w:tcPr>
          <w:p w14:paraId="7227B23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3"/>
            <w:shd w:val="clear" w:color="auto" w:fill="FFFFFF"/>
          </w:tcPr>
          <w:p w14:paraId="77EBD20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1432" w:type="dxa"/>
            <w:shd w:val="clear" w:color="auto" w:fill="FFFFFF"/>
          </w:tcPr>
          <w:p w14:paraId="2CE604E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r>
      <w:tr w:rsidR="00216BD4" w:rsidRPr="00216BD4" w14:paraId="1520D54C" w14:textId="77777777" w:rsidTr="00216BD4">
        <w:trPr>
          <w:trHeight w:val="142"/>
          <w:jc w:val="center"/>
        </w:trPr>
        <w:tc>
          <w:tcPr>
            <w:tcW w:w="1596" w:type="dxa"/>
            <w:vMerge/>
            <w:shd w:val="clear" w:color="auto" w:fill="FFFFFF"/>
          </w:tcPr>
          <w:p w14:paraId="71ADD59C" w14:textId="77777777" w:rsidR="00216BD4" w:rsidRPr="00216BD4" w:rsidRDefault="00216BD4" w:rsidP="00216B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p>
        </w:tc>
        <w:tc>
          <w:tcPr>
            <w:tcW w:w="2293" w:type="dxa"/>
            <w:gridSpan w:val="6"/>
            <w:shd w:val="clear" w:color="auto" w:fill="FFFFFF"/>
          </w:tcPr>
          <w:p w14:paraId="34E8A67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rodzina, obywatele oraz gospodarstwa domowe</w:t>
            </w:r>
          </w:p>
        </w:tc>
        <w:tc>
          <w:tcPr>
            <w:tcW w:w="937" w:type="dxa"/>
            <w:gridSpan w:val="2"/>
            <w:shd w:val="clear" w:color="auto" w:fill="FFFFFF"/>
          </w:tcPr>
          <w:p w14:paraId="5C466F7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5"/>
            <w:shd w:val="clear" w:color="auto" w:fill="FFFFFF"/>
          </w:tcPr>
          <w:p w14:paraId="152EA1A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4"/>
            <w:shd w:val="clear" w:color="auto" w:fill="FFFFFF"/>
          </w:tcPr>
          <w:p w14:paraId="38FBC4A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7" w:type="dxa"/>
            <w:gridSpan w:val="3"/>
            <w:shd w:val="clear" w:color="auto" w:fill="FFFFFF"/>
          </w:tcPr>
          <w:p w14:paraId="2DB41DB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4"/>
            <w:shd w:val="clear" w:color="auto" w:fill="FFFFFF"/>
          </w:tcPr>
          <w:p w14:paraId="71E520F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3"/>
            <w:shd w:val="clear" w:color="auto" w:fill="FFFFFF"/>
          </w:tcPr>
          <w:p w14:paraId="7E2F817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1432" w:type="dxa"/>
            <w:shd w:val="clear" w:color="auto" w:fill="FFFFFF"/>
          </w:tcPr>
          <w:p w14:paraId="7F87BB1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r>
      <w:tr w:rsidR="00216BD4" w:rsidRPr="00216BD4" w14:paraId="5937FC77" w14:textId="77777777" w:rsidTr="00216BD4">
        <w:trPr>
          <w:trHeight w:val="142"/>
          <w:jc w:val="center"/>
        </w:trPr>
        <w:tc>
          <w:tcPr>
            <w:tcW w:w="1596" w:type="dxa"/>
            <w:vMerge/>
            <w:shd w:val="clear" w:color="auto" w:fill="FFFFFF"/>
          </w:tcPr>
          <w:p w14:paraId="27A36ECC" w14:textId="77777777" w:rsidR="00216BD4" w:rsidRPr="00216BD4" w:rsidRDefault="00216BD4" w:rsidP="00216B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p>
        </w:tc>
        <w:tc>
          <w:tcPr>
            <w:tcW w:w="2293" w:type="dxa"/>
            <w:gridSpan w:val="6"/>
            <w:shd w:val="clear" w:color="auto" w:fill="FFFFFF"/>
          </w:tcPr>
          <w:p w14:paraId="43DE45B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(dodaj/usuń)</w:t>
            </w:r>
          </w:p>
        </w:tc>
        <w:tc>
          <w:tcPr>
            <w:tcW w:w="937" w:type="dxa"/>
            <w:gridSpan w:val="2"/>
            <w:shd w:val="clear" w:color="auto" w:fill="FFFFFF"/>
          </w:tcPr>
          <w:p w14:paraId="4124C9B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5"/>
            <w:shd w:val="clear" w:color="auto" w:fill="FFFFFF"/>
          </w:tcPr>
          <w:p w14:paraId="3B5AEAE3"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4"/>
            <w:shd w:val="clear" w:color="auto" w:fill="FFFFFF"/>
          </w:tcPr>
          <w:p w14:paraId="29F1E0E8"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7" w:type="dxa"/>
            <w:gridSpan w:val="3"/>
            <w:shd w:val="clear" w:color="auto" w:fill="FFFFFF"/>
          </w:tcPr>
          <w:p w14:paraId="3F4DE0F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4"/>
            <w:shd w:val="clear" w:color="auto" w:fill="FFFFFF"/>
          </w:tcPr>
          <w:p w14:paraId="29BC8F3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938" w:type="dxa"/>
            <w:gridSpan w:val="3"/>
            <w:shd w:val="clear" w:color="auto" w:fill="FFFFFF"/>
          </w:tcPr>
          <w:p w14:paraId="41D00EBF"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c>
          <w:tcPr>
            <w:tcW w:w="1432" w:type="dxa"/>
            <w:shd w:val="clear" w:color="auto" w:fill="FFFFFF"/>
          </w:tcPr>
          <w:p w14:paraId="65D28B5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r>
      <w:tr w:rsidR="00216BD4" w:rsidRPr="00216BD4" w14:paraId="211F8EA4" w14:textId="77777777" w:rsidTr="00216BD4">
        <w:trPr>
          <w:trHeight w:val="142"/>
          <w:jc w:val="center"/>
        </w:trPr>
        <w:tc>
          <w:tcPr>
            <w:tcW w:w="1596" w:type="dxa"/>
            <w:vMerge w:val="restart"/>
            <w:shd w:val="clear" w:color="auto" w:fill="FFFFFF"/>
          </w:tcPr>
          <w:p w14:paraId="53DD511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W ujęciu niepieniężnym</w:t>
            </w:r>
          </w:p>
        </w:tc>
        <w:tc>
          <w:tcPr>
            <w:tcW w:w="2293" w:type="dxa"/>
            <w:gridSpan w:val="6"/>
            <w:shd w:val="clear" w:color="auto" w:fill="FFFFFF"/>
          </w:tcPr>
          <w:p w14:paraId="6C7D0D3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duże przedsiębiorstwa</w:t>
            </w:r>
          </w:p>
        </w:tc>
        <w:tc>
          <w:tcPr>
            <w:tcW w:w="7058" w:type="dxa"/>
            <w:gridSpan w:val="22"/>
            <w:shd w:val="clear" w:color="auto" w:fill="FFFFFF"/>
          </w:tcPr>
          <w:p w14:paraId="146FD3DD" w14:textId="77777777" w:rsidR="00216BD4" w:rsidRPr="00216BD4" w:rsidRDefault="00E83D61"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E83D61">
              <w:rPr>
                <w:rFonts w:ascii="Times New Roman" w:eastAsia="Times New Roman" w:hAnsi="Times New Roman" w:cs="Times New Roman"/>
                <w:color w:val="000000"/>
                <w:sz w:val="21"/>
                <w:szCs w:val="21"/>
                <w:lang w:eastAsia="pl-PL"/>
              </w:rPr>
              <w:t xml:space="preserve">Wejście w życie projektowanej ustawy nie będzie miało wpływu na konkurencyjność gospodarki i przedsiębiorczość, w tym funkcjonowanie przedsiębiorców, a zwłaszcza </w:t>
            </w:r>
            <w:proofErr w:type="spellStart"/>
            <w:r w:rsidRPr="00E83D61">
              <w:rPr>
                <w:rFonts w:ascii="Times New Roman" w:eastAsia="Times New Roman" w:hAnsi="Times New Roman" w:cs="Times New Roman"/>
                <w:color w:val="000000"/>
                <w:sz w:val="21"/>
                <w:szCs w:val="21"/>
                <w:lang w:eastAsia="pl-PL"/>
              </w:rPr>
              <w:t>mikroprzedsiębiorców</w:t>
            </w:r>
            <w:proofErr w:type="spellEnd"/>
            <w:r w:rsidRPr="00E83D61">
              <w:rPr>
                <w:rFonts w:ascii="Times New Roman" w:eastAsia="Times New Roman" w:hAnsi="Times New Roman" w:cs="Times New Roman"/>
                <w:color w:val="000000"/>
                <w:sz w:val="21"/>
                <w:szCs w:val="21"/>
                <w:lang w:eastAsia="pl-PL"/>
              </w:rPr>
              <w:t>, małych i średnich przedsiębiorców</w:t>
            </w:r>
            <w:r>
              <w:rPr>
                <w:rFonts w:ascii="Times New Roman" w:eastAsia="Times New Roman" w:hAnsi="Times New Roman" w:cs="Times New Roman"/>
                <w:color w:val="000000"/>
                <w:sz w:val="21"/>
                <w:szCs w:val="21"/>
                <w:lang w:eastAsia="pl-PL"/>
              </w:rPr>
              <w:t>.</w:t>
            </w:r>
          </w:p>
        </w:tc>
      </w:tr>
      <w:tr w:rsidR="00216BD4" w:rsidRPr="00216BD4" w14:paraId="25F202A5" w14:textId="77777777" w:rsidTr="00216BD4">
        <w:trPr>
          <w:trHeight w:val="142"/>
          <w:jc w:val="center"/>
        </w:trPr>
        <w:tc>
          <w:tcPr>
            <w:tcW w:w="1596" w:type="dxa"/>
            <w:vMerge/>
            <w:shd w:val="clear" w:color="auto" w:fill="FFFFFF"/>
          </w:tcPr>
          <w:p w14:paraId="52AFFCBF" w14:textId="77777777" w:rsidR="00216BD4" w:rsidRPr="00216BD4" w:rsidRDefault="00216BD4" w:rsidP="00216B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p>
        </w:tc>
        <w:tc>
          <w:tcPr>
            <w:tcW w:w="2293" w:type="dxa"/>
            <w:gridSpan w:val="6"/>
            <w:shd w:val="clear" w:color="auto" w:fill="FFFFFF"/>
          </w:tcPr>
          <w:p w14:paraId="44801D0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sektor mikro-, małych i średnich przedsiębiorstw</w:t>
            </w:r>
          </w:p>
        </w:tc>
        <w:tc>
          <w:tcPr>
            <w:tcW w:w="7058" w:type="dxa"/>
            <w:gridSpan w:val="22"/>
            <w:shd w:val="clear" w:color="auto" w:fill="FFFFFF"/>
          </w:tcPr>
          <w:p w14:paraId="01E76A9F" w14:textId="77777777" w:rsidR="00216BD4" w:rsidRPr="00216BD4" w:rsidRDefault="00E83D61"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roofErr w:type="spellStart"/>
            <w:r>
              <w:rPr>
                <w:rFonts w:ascii="Times New Roman" w:eastAsia="Times New Roman" w:hAnsi="Times New Roman" w:cs="Times New Roman"/>
                <w:color w:val="000000"/>
                <w:sz w:val="21"/>
                <w:szCs w:val="21"/>
                <w:lang w:eastAsia="pl-PL"/>
              </w:rPr>
              <w:t>j.w</w:t>
            </w:r>
            <w:proofErr w:type="spellEnd"/>
            <w:r>
              <w:rPr>
                <w:rFonts w:ascii="Times New Roman" w:eastAsia="Times New Roman" w:hAnsi="Times New Roman" w:cs="Times New Roman"/>
                <w:color w:val="000000"/>
                <w:sz w:val="21"/>
                <w:szCs w:val="21"/>
                <w:lang w:eastAsia="pl-PL"/>
              </w:rPr>
              <w:t>.</w:t>
            </w:r>
          </w:p>
        </w:tc>
      </w:tr>
      <w:tr w:rsidR="00216BD4" w:rsidRPr="00216BD4" w14:paraId="130D5CD5" w14:textId="77777777" w:rsidTr="00216BD4">
        <w:trPr>
          <w:trHeight w:val="596"/>
          <w:jc w:val="center"/>
        </w:trPr>
        <w:tc>
          <w:tcPr>
            <w:tcW w:w="1596" w:type="dxa"/>
            <w:vMerge/>
            <w:shd w:val="clear" w:color="auto" w:fill="FFFFFF"/>
          </w:tcPr>
          <w:p w14:paraId="505C4637" w14:textId="77777777" w:rsidR="00216BD4" w:rsidRPr="00216BD4" w:rsidRDefault="00216BD4" w:rsidP="00216B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p>
        </w:tc>
        <w:tc>
          <w:tcPr>
            <w:tcW w:w="2293" w:type="dxa"/>
            <w:gridSpan w:val="6"/>
            <w:shd w:val="clear" w:color="auto" w:fill="FFFFFF"/>
          </w:tcPr>
          <w:p w14:paraId="7EFE8764" w14:textId="77777777" w:rsidR="00216BD4" w:rsidRPr="00216BD4" w:rsidRDefault="00216BD4" w:rsidP="00216BD4">
            <w:pPr>
              <w:pBdr>
                <w:top w:val="nil"/>
                <w:left w:val="nil"/>
                <w:bottom w:val="nil"/>
                <w:right w:val="nil"/>
                <w:between w:val="nil"/>
              </w:pBdr>
              <w:tabs>
                <w:tab w:val="right" w:pos="1936"/>
              </w:tabs>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rodzina, obywatele oraz gospodarstwa domowe</w:t>
            </w:r>
            <w:r w:rsidR="00D76CE5">
              <w:rPr>
                <w:rFonts w:ascii="Times New Roman" w:eastAsia="Times New Roman" w:hAnsi="Times New Roman" w:cs="Times New Roman"/>
                <w:color w:val="000000"/>
                <w:sz w:val="21"/>
                <w:szCs w:val="21"/>
                <w:lang w:eastAsia="pl-PL"/>
              </w:rPr>
              <w:t>, w tym osoby starsze i niepełnosprawne</w:t>
            </w:r>
            <w:r w:rsidRPr="00216BD4">
              <w:rPr>
                <w:rFonts w:ascii="Times New Roman" w:eastAsia="Times New Roman" w:hAnsi="Times New Roman" w:cs="Times New Roman"/>
                <w:color w:val="000000"/>
                <w:sz w:val="21"/>
                <w:szCs w:val="21"/>
                <w:lang w:eastAsia="pl-PL"/>
              </w:rPr>
              <w:t xml:space="preserve"> </w:t>
            </w:r>
          </w:p>
        </w:tc>
        <w:tc>
          <w:tcPr>
            <w:tcW w:w="7058" w:type="dxa"/>
            <w:gridSpan w:val="22"/>
            <w:shd w:val="clear" w:color="auto" w:fill="FFFFFF"/>
          </w:tcPr>
          <w:p w14:paraId="059CF840" w14:textId="77777777" w:rsidR="009B25D6" w:rsidRPr="000657BF" w:rsidRDefault="009B25D6" w:rsidP="009B25D6">
            <w:pPr>
              <w:pBdr>
                <w:top w:val="nil"/>
                <w:left w:val="nil"/>
                <w:bottom w:val="nil"/>
                <w:right w:val="nil"/>
                <w:between w:val="nil"/>
              </w:pBdr>
              <w:spacing w:after="0" w:line="240" w:lineRule="auto"/>
              <w:rPr>
                <w:rFonts w:ascii="Times New Roman" w:hAnsi="Times New Roman" w:cs="Times New Roman"/>
                <w:lang w:eastAsia="pl-PL"/>
              </w:rPr>
            </w:pPr>
            <w:r w:rsidRPr="000657BF">
              <w:rPr>
                <w:rFonts w:ascii="Times New Roman" w:hAnsi="Times New Roman" w:cs="Times New Roman"/>
                <w:lang w:eastAsia="pl-PL"/>
              </w:rPr>
              <w:t xml:space="preserve">Nowelizacja nie będzie miała bezpośredniego wpływu na sytuację ekonomiczną i społeczną rodziny, ponieważ planowane w niej zmiany dotyczą wyłącznie podmiotów publicznych podlegających przepisom ustawy, jednakże w sposób pośredni może przekładać się pozytywnie na sytuację osób niepełnosprawnych i ich rodzin. </w:t>
            </w:r>
          </w:p>
          <w:p w14:paraId="71EC5888" w14:textId="77777777" w:rsidR="00216BD4" w:rsidRPr="00216BD4" w:rsidRDefault="009B25D6" w:rsidP="000657BF">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0657BF">
              <w:rPr>
                <w:rFonts w:ascii="Times New Roman" w:hAnsi="Times New Roman" w:cs="Times New Roman"/>
                <w:lang w:eastAsia="pl-PL"/>
              </w:rPr>
              <w:t xml:space="preserve">Ustawa zmieniana stworzyła zupełnie nowy, precyzyjny system zapewniania dostępności cyfrowej stron i aplikacji podmiotów publicznych. Stąd pośrednio wpływała na sytuację osób indywidualnych. Nowelizacja ma wyłącznie charakter uzupełniający i korygujący już istniejący system. </w:t>
            </w:r>
          </w:p>
        </w:tc>
      </w:tr>
      <w:tr w:rsidR="00216BD4" w:rsidRPr="00216BD4" w14:paraId="52651F55" w14:textId="77777777" w:rsidTr="00216BD4">
        <w:trPr>
          <w:trHeight w:val="240"/>
          <w:jc w:val="center"/>
        </w:trPr>
        <w:tc>
          <w:tcPr>
            <w:tcW w:w="1596" w:type="dxa"/>
            <w:vMerge/>
            <w:shd w:val="clear" w:color="auto" w:fill="FFFFFF"/>
          </w:tcPr>
          <w:p w14:paraId="02AF21F0" w14:textId="77777777" w:rsidR="00216BD4" w:rsidRPr="00216BD4" w:rsidRDefault="00216BD4" w:rsidP="00216B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p>
        </w:tc>
        <w:tc>
          <w:tcPr>
            <w:tcW w:w="2293" w:type="dxa"/>
            <w:gridSpan w:val="6"/>
            <w:shd w:val="clear" w:color="auto" w:fill="FFFFFF"/>
          </w:tcPr>
          <w:p w14:paraId="13B59D67" w14:textId="77777777" w:rsidR="00216BD4" w:rsidRPr="00216BD4" w:rsidRDefault="00216BD4" w:rsidP="00216BD4">
            <w:pPr>
              <w:pBdr>
                <w:top w:val="nil"/>
                <w:left w:val="nil"/>
                <w:bottom w:val="nil"/>
                <w:right w:val="nil"/>
                <w:between w:val="nil"/>
              </w:pBdr>
              <w:tabs>
                <w:tab w:val="right" w:pos="1936"/>
              </w:tabs>
              <w:spacing w:after="0" w:line="276"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(dodaj/usuń)</w:t>
            </w:r>
          </w:p>
        </w:tc>
        <w:tc>
          <w:tcPr>
            <w:tcW w:w="7058" w:type="dxa"/>
            <w:gridSpan w:val="22"/>
            <w:shd w:val="clear" w:color="auto" w:fill="FFFFFF"/>
          </w:tcPr>
          <w:p w14:paraId="39642826" w14:textId="77777777" w:rsidR="00216BD4" w:rsidRPr="00216BD4" w:rsidRDefault="00216BD4" w:rsidP="00216BD4">
            <w:pPr>
              <w:pBdr>
                <w:top w:val="nil"/>
                <w:left w:val="nil"/>
                <w:bottom w:val="nil"/>
                <w:right w:val="nil"/>
                <w:between w:val="nil"/>
              </w:pBdr>
              <w:tabs>
                <w:tab w:val="left" w:pos="3000"/>
              </w:tabs>
              <w:spacing w:after="0" w:line="276" w:lineRule="auto"/>
              <w:rPr>
                <w:rFonts w:ascii="Times New Roman" w:eastAsia="Times New Roman" w:hAnsi="Times New Roman" w:cs="Times New Roman"/>
                <w:color w:val="000000"/>
                <w:sz w:val="21"/>
                <w:szCs w:val="21"/>
                <w:lang w:eastAsia="pl-PL"/>
              </w:rPr>
            </w:pPr>
          </w:p>
        </w:tc>
      </w:tr>
      <w:tr w:rsidR="00216BD4" w:rsidRPr="00216BD4" w14:paraId="58E3F8F8" w14:textId="77777777" w:rsidTr="00216BD4">
        <w:trPr>
          <w:trHeight w:val="142"/>
          <w:jc w:val="center"/>
        </w:trPr>
        <w:tc>
          <w:tcPr>
            <w:tcW w:w="1596" w:type="dxa"/>
            <w:vMerge w:val="restart"/>
            <w:shd w:val="clear" w:color="auto" w:fill="FFFFFF"/>
          </w:tcPr>
          <w:p w14:paraId="0C6FDE7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Niemierzalne</w:t>
            </w:r>
          </w:p>
        </w:tc>
        <w:tc>
          <w:tcPr>
            <w:tcW w:w="2293" w:type="dxa"/>
            <w:gridSpan w:val="6"/>
            <w:shd w:val="clear" w:color="auto" w:fill="FFFFFF"/>
          </w:tcPr>
          <w:p w14:paraId="3AB5515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(dodaj/usuń)</w:t>
            </w:r>
          </w:p>
        </w:tc>
        <w:tc>
          <w:tcPr>
            <w:tcW w:w="7058" w:type="dxa"/>
            <w:gridSpan w:val="22"/>
            <w:shd w:val="clear" w:color="auto" w:fill="FFFFFF"/>
          </w:tcPr>
          <w:p w14:paraId="58FF657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r>
      <w:tr w:rsidR="00216BD4" w:rsidRPr="00216BD4" w14:paraId="30285FA8" w14:textId="77777777" w:rsidTr="00216BD4">
        <w:trPr>
          <w:trHeight w:val="142"/>
          <w:jc w:val="center"/>
        </w:trPr>
        <w:tc>
          <w:tcPr>
            <w:tcW w:w="1596" w:type="dxa"/>
            <w:vMerge/>
            <w:shd w:val="clear" w:color="auto" w:fill="FFFFFF"/>
          </w:tcPr>
          <w:p w14:paraId="3CD3162A" w14:textId="77777777" w:rsidR="00216BD4" w:rsidRPr="00216BD4" w:rsidRDefault="00216BD4" w:rsidP="00216B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1"/>
                <w:szCs w:val="21"/>
                <w:lang w:eastAsia="pl-PL"/>
              </w:rPr>
            </w:pPr>
          </w:p>
        </w:tc>
        <w:tc>
          <w:tcPr>
            <w:tcW w:w="2293" w:type="dxa"/>
            <w:gridSpan w:val="6"/>
            <w:shd w:val="clear" w:color="auto" w:fill="FFFFFF"/>
          </w:tcPr>
          <w:p w14:paraId="09061B7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(dodaj/usuń)</w:t>
            </w:r>
          </w:p>
        </w:tc>
        <w:tc>
          <w:tcPr>
            <w:tcW w:w="7058" w:type="dxa"/>
            <w:gridSpan w:val="22"/>
            <w:shd w:val="clear" w:color="auto" w:fill="FFFFFF"/>
          </w:tcPr>
          <w:p w14:paraId="4A5814F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p>
        </w:tc>
      </w:tr>
      <w:tr w:rsidR="00216BD4" w:rsidRPr="00216BD4" w14:paraId="27A935EF" w14:textId="77777777" w:rsidTr="00216BD4">
        <w:trPr>
          <w:trHeight w:val="1643"/>
          <w:jc w:val="center"/>
        </w:trPr>
        <w:tc>
          <w:tcPr>
            <w:tcW w:w="2243" w:type="dxa"/>
            <w:gridSpan w:val="2"/>
            <w:shd w:val="clear" w:color="auto" w:fill="FFFFFF"/>
          </w:tcPr>
          <w:p w14:paraId="17EA7E6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sz w:val="21"/>
                <w:szCs w:val="21"/>
                <w:lang w:eastAsia="pl-PL"/>
              </w:rPr>
            </w:pPr>
            <w:r w:rsidRPr="00216BD4">
              <w:rPr>
                <w:rFonts w:ascii="Times New Roman" w:eastAsia="Times New Roman" w:hAnsi="Times New Roman" w:cs="Times New Roman"/>
                <w:color w:val="000000"/>
                <w:sz w:val="21"/>
                <w:szCs w:val="21"/>
                <w:lang w:eastAsia="pl-PL"/>
              </w:rPr>
              <w:t xml:space="preserve">Dodatkowe informacje, w tym wskazanie źródeł danych i przyjętych do obliczeń założeń </w:t>
            </w:r>
          </w:p>
        </w:tc>
        <w:tc>
          <w:tcPr>
            <w:tcW w:w="8704" w:type="dxa"/>
            <w:gridSpan w:val="27"/>
            <w:shd w:val="clear" w:color="auto" w:fill="FFFFFF"/>
            <w:vAlign w:val="center"/>
          </w:tcPr>
          <w:p w14:paraId="1A003579"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sz w:val="21"/>
                <w:szCs w:val="21"/>
                <w:lang w:eastAsia="pl-PL"/>
              </w:rPr>
            </w:pPr>
            <w:r w:rsidRPr="00216BD4">
              <w:rPr>
                <w:rFonts w:ascii="Times New Roman" w:eastAsia="Times New Roman" w:hAnsi="Times New Roman" w:cs="Times New Roman"/>
                <w:sz w:val="21"/>
                <w:szCs w:val="21"/>
                <w:lang w:eastAsia="pl-PL"/>
              </w:rPr>
              <w:t>Nie dotyczy</w:t>
            </w:r>
          </w:p>
          <w:p w14:paraId="151026B2"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eastAsia="pl-PL"/>
              </w:rPr>
            </w:pPr>
          </w:p>
        </w:tc>
      </w:tr>
      <w:tr w:rsidR="00216BD4" w:rsidRPr="00216BD4" w14:paraId="4E315FC5" w14:textId="77777777" w:rsidTr="00216BD4">
        <w:trPr>
          <w:trHeight w:val="342"/>
          <w:jc w:val="center"/>
        </w:trPr>
        <w:tc>
          <w:tcPr>
            <w:tcW w:w="10947" w:type="dxa"/>
            <w:gridSpan w:val="29"/>
            <w:shd w:val="clear" w:color="auto" w:fill="99CCFF"/>
            <w:vAlign w:val="center"/>
          </w:tcPr>
          <w:p w14:paraId="2186DF4D" w14:textId="77777777" w:rsidR="00216BD4" w:rsidRPr="00216BD4" w:rsidRDefault="00216BD4" w:rsidP="00216BD4">
            <w:pPr>
              <w:numPr>
                <w:ilvl w:val="0"/>
                <w:numId w:val="3"/>
              </w:numPr>
              <w:pBdr>
                <w:top w:val="nil"/>
                <w:left w:val="nil"/>
                <w:bottom w:val="nil"/>
                <w:right w:val="nil"/>
                <w:between w:val="nil"/>
              </w:pBdr>
              <w:spacing w:before="60" w:after="60" w:line="240" w:lineRule="auto"/>
              <w:ind w:left="318" w:hanging="284"/>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 xml:space="preserve"> Zmiana obciążeń regulacyjnych (w tym obowiązków informacyjnych) wynikających z projektu</w:t>
            </w:r>
          </w:p>
        </w:tc>
      </w:tr>
      <w:tr w:rsidR="00216BD4" w:rsidRPr="00216BD4" w14:paraId="7ADAF476" w14:textId="77777777" w:rsidTr="00216BD4">
        <w:trPr>
          <w:trHeight w:val="151"/>
          <w:jc w:val="center"/>
        </w:trPr>
        <w:tc>
          <w:tcPr>
            <w:tcW w:w="10947" w:type="dxa"/>
            <w:gridSpan w:val="29"/>
            <w:shd w:val="clear" w:color="auto" w:fill="FFFFFF"/>
          </w:tcPr>
          <w:p w14:paraId="5733D76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lang w:eastAsia="pl-PL"/>
              </w:rPr>
              <w:t xml:space="preserve"> nie dotyczy</w:t>
            </w:r>
          </w:p>
        </w:tc>
      </w:tr>
      <w:tr w:rsidR="00216BD4" w:rsidRPr="00216BD4" w14:paraId="318EEE1A" w14:textId="77777777" w:rsidTr="00216BD4">
        <w:trPr>
          <w:trHeight w:val="946"/>
          <w:jc w:val="center"/>
        </w:trPr>
        <w:tc>
          <w:tcPr>
            <w:tcW w:w="5111" w:type="dxa"/>
            <w:gridSpan w:val="12"/>
            <w:shd w:val="clear" w:color="auto" w:fill="FFFFFF"/>
          </w:tcPr>
          <w:p w14:paraId="3CE14A9A" w14:textId="77777777" w:rsidR="00216BD4" w:rsidRPr="00216BD4" w:rsidRDefault="00216BD4" w:rsidP="00216BD4">
            <w:pPr>
              <w:pBdr>
                <w:top w:val="nil"/>
                <w:left w:val="nil"/>
                <w:bottom w:val="nil"/>
                <w:right w:val="nil"/>
                <w:between w:val="nil"/>
              </w:pBdr>
              <w:spacing w:after="0" w:line="276"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Wprowadzane są obciążenia poza bezwzględnie wymaganymi przez UE (szczegóły w odwróconej tabeli zgodności).</w:t>
            </w:r>
          </w:p>
        </w:tc>
        <w:tc>
          <w:tcPr>
            <w:tcW w:w="5836" w:type="dxa"/>
            <w:gridSpan w:val="17"/>
            <w:shd w:val="clear" w:color="auto" w:fill="FFFFFF"/>
          </w:tcPr>
          <w:p w14:paraId="29F7D9F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lang w:eastAsia="pl-PL"/>
              </w:rPr>
              <w:t xml:space="preserve"> tak</w:t>
            </w:r>
          </w:p>
          <w:p w14:paraId="2472121B"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lang w:eastAsia="pl-PL"/>
              </w:rPr>
              <w:t xml:space="preserve"> nie</w:t>
            </w:r>
          </w:p>
          <w:p w14:paraId="472D57D2" w14:textId="77777777" w:rsidR="00216BD4" w:rsidRPr="00216BD4" w:rsidRDefault="00216BD4" w:rsidP="00216BD4">
            <w:pPr>
              <w:pBdr>
                <w:top w:val="nil"/>
                <w:left w:val="nil"/>
                <w:bottom w:val="nil"/>
                <w:right w:val="nil"/>
                <w:between w:val="nil"/>
              </w:pBdr>
              <w:spacing w:after="0" w:line="276"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lang w:eastAsia="pl-PL"/>
              </w:rPr>
              <w:t xml:space="preserve"> nie dotyczy</w:t>
            </w:r>
          </w:p>
        </w:tc>
      </w:tr>
      <w:tr w:rsidR="00216BD4" w:rsidRPr="00216BD4" w14:paraId="39ED75CF" w14:textId="77777777" w:rsidTr="00216BD4">
        <w:trPr>
          <w:trHeight w:val="1245"/>
          <w:jc w:val="center"/>
        </w:trPr>
        <w:tc>
          <w:tcPr>
            <w:tcW w:w="5111" w:type="dxa"/>
            <w:gridSpan w:val="12"/>
            <w:shd w:val="clear" w:color="auto" w:fill="FFFFFF"/>
          </w:tcPr>
          <w:p w14:paraId="53513AF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 xml:space="preserve">zmniejszenie liczby dokumentów </w:t>
            </w:r>
          </w:p>
          <w:p w14:paraId="6E50795C"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zmniejszenie liczby procedur</w:t>
            </w:r>
          </w:p>
          <w:p w14:paraId="204CB7E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skrócenie czasu na załatwienie sprawy</w:t>
            </w:r>
          </w:p>
          <w:p w14:paraId="3A371D83" w14:textId="77777777" w:rsidR="00216BD4" w:rsidRPr="00216BD4" w:rsidRDefault="00216BD4" w:rsidP="00216BD4">
            <w:pPr>
              <w:pBdr>
                <w:top w:val="nil"/>
                <w:left w:val="nil"/>
                <w:bottom w:val="nil"/>
                <w:right w:val="nil"/>
                <w:between w:val="nil"/>
              </w:pBdr>
              <w:spacing w:after="0" w:line="276"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inne:      </w:t>
            </w:r>
          </w:p>
        </w:tc>
        <w:tc>
          <w:tcPr>
            <w:tcW w:w="5836" w:type="dxa"/>
            <w:gridSpan w:val="17"/>
            <w:shd w:val="clear" w:color="auto" w:fill="FFFFFF"/>
          </w:tcPr>
          <w:p w14:paraId="6F73FE3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lang w:eastAsia="pl-PL"/>
              </w:rPr>
              <w:t>☐</w:t>
            </w:r>
            <w:r w:rsidRPr="00216BD4">
              <w:rPr>
                <w:rFonts w:ascii="Times New Roman" w:eastAsia="Times New Roman" w:hAnsi="Times New Roman" w:cs="Times New Roman"/>
                <w:sz w:val="20"/>
                <w:szCs w:val="20"/>
                <w:lang w:eastAsia="pl-PL"/>
              </w:rPr>
              <w:t xml:space="preserve"> </w:t>
            </w:r>
            <w:r w:rsidRPr="00216BD4">
              <w:rPr>
                <w:rFonts w:ascii="Times New Roman" w:eastAsia="Times New Roman" w:hAnsi="Times New Roman" w:cs="Times New Roman"/>
                <w:color w:val="000000"/>
                <w:lang w:eastAsia="pl-PL"/>
              </w:rPr>
              <w:t>zwiększenie liczby dokumentów</w:t>
            </w:r>
          </w:p>
          <w:p w14:paraId="4FEC2C5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lang w:eastAsia="pl-PL"/>
              </w:rPr>
              <w:t>☐</w:t>
            </w:r>
            <w:r w:rsidRPr="00216BD4">
              <w:rPr>
                <w:rFonts w:ascii="Times New Roman" w:eastAsia="Times New Roman" w:hAnsi="Times New Roman" w:cs="Times New Roman"/>
                <w:color w:val="000000"/>
                <w:lang w:eastAsia="pl-PL"/>
              </w:rPr>
              <w:t>zwiększenie liczby procedur</w:t>
            </w:r>
          </w:p>
          <w:p w14:paraId="326EE864"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wydłużenie czasu na załatwienie sprawy</w:t>
            </w:r>
          </w:p>
          <w:p w14:paraId="63D620C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inne:      </w:t>
            </w:r>
          </w:p>
          <w:p w14:paraId="28B4C4C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216BD4" w:rsidRPr="00216BD4" w14:paraId="67CE7064" w14:textId="77777777" w:rsidTr="00216BD4">
        <w:trPr>
          <w:trHeight w:val="870"/>
          <w:jc w:val="center"/>
        </w:trPr>
        <w:tc>
          <w:tcPr>
            <w:tcW w:w="5111" w:type="dxa"/>
            <w:gridSpan w:val="12"/>
            <w:shd w:val="clear" w:color="auto" w:fill="FFFFFF"/>
          </w:tcPr>
          <w:p w14:paraId="65CD618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 xml:space="preserve">Wprowadzane obciążenia są przystosowane do ich elektronizacji. </w:t>
            </w:r>
          </w:p>
        </w:tc>
        <w:tc>
          <w:tcPr>
            <w:tcW w:w="5836" w:type="dxa"/>
            <w:gridSpan w:val="17"/>
            <w:shd w:val="clear" w:color="auto" w:fill="FFFFFF"/>
          </w:tcPr>
          <w:p w14:paraId="1323AEB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lang w:eastAsia="pl-PL"/>
              </w:rPr>
              <w:t>⛝</w:t>
            </w:r>
            <w:r w:rsidRPr="00216BD4">
              <w:rPr>
                <w:rFonts w:ascii="Times New Roman" w:eastAsia="Times New Roman" w:hAnsi="Times New Roman" w:cs="Times New Roman"/>
                <w:sz w:val="20"/>
                <w:szCs w:val="20"/>
                <w:lang w:eastAsia="pl-PL"/>
              </w:rPr>
              <w:t xml:space="preserve"> </w:t>
            </w:r>
            <w:r w:rsidRPr="00216BD4">
              <w:rPr>
                <w:rFonts w:ascii="Times New Roman" w:eastAsia="Times New Roman" w:hAnsi="Times New Roman" w:cs="Times New Roman"/>
                <w:color w:val="000000"/>
                <w:lang w:eastAsia="pl-PL"/>
              </w:rPr>
              <w:t>tak</w:t>
            </w:r>
          </w:p>
          <w:p w14:paraId="5AF29C8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lang w:eastAsia="pl-PL"/>
              </w:rPr>
              <w:t xml:space="preserve"> nie</w:t>
            </w:r>
          </w:p>
          <w:p w14:paraId="286C2FDA"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lang w:eastAsia="pl-PL"/>
              </w:rPr>
              <w:t xml:space="preserve"> nie dotyczy</w:t>
            </w:r>
          </w:p>
          <w:p w14:paraId="5974903E"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tc>
      </w:tr>
      <w:tr w:rsidR="00216BD4" w:rsidRPr="00216BD4" w14:paraId="03862312" w14:textId="77777777" w:rsidTr="00216BD4">
        <w:trPr>
          <w:trHeight w:val="630"/>
          <w:jc w:val="center"/>
        </w:trPr>
        <w:tc>
          <w:tcPr>
            <w:tcW w:w="10947" w:type="dxa"/>
            <w:gridSpan w:val="29"/>
            <w:shd w:val="clear" w:color="auto" w:fill="FFFFFF"/>
          </w:tcPr>
          <w:p w14:paraId="75BA8C4F"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Komentarz:</w:t>
            </w:r>
          </w:p>
          <w:p w14:paraId="10A5A6B1" w14:textId="77777777" w:rsidR="00D945C3" w:rsidRPr="00D945C3" w:rsidRDefault="00D945C3" w:rsidP="00D945C3">
            <w:pPr>
              <w:pBdr>
                <w:top w:val="nil"/>
                <w:left w:val="nil"/>
                <w:bottom w:val="nil"/>
                <w:right w:val="nil"/>
                <w:between w:val="nil"/>
              </w:pBdr>
              <w:spacing w:after="0" w:line="240" w:lineRule="auto"/>
              <w:jc w:val="both"/>
              <w:rPr>
                <w:rFonts w:ascii="Times New Roman" w:hAnsi="Times New Roman" w:cs="Times New Roman"/>
              </w:rPr>
            </w:pPr>
            <w:r w:rsidRPr="00D945C3">
              <w:rPr>
                <w:rFonts w:ascii="Times New Roman" w:hAnsi="Times New Roman" w:cs="Times New Roman"/>
              </w:rPr>
              <w:t xml:space="preserve">Nowelizacja ogranicza katalog przedmiotowy wymagający dostępności cyfrowej poprzez poszerzenie zakresu dopuszczalnych </w:t>
            </w:r>
            <w:proofErr w:type="spellStart"/>
            <w:r w:rsidRPr="00D945C3">
              <w:rPr>
                <w:rFonts w:ascii="Times New Roman" w:hAnsi="Times New Roman" w:cs="Times New Roman"/>
              </w:rPr>
              <w:t>wyłączeń</w:t>
            </w:r>
            <w:proofErr w:type="spellEnd"/>
            <w:r w:rsidRPr="00D945C3">
              <w:rPr>
                <w:rFonts w:ascii="Times New Roman" w:hAnsi="Times New Roman" w:cs="Times New Roman"/>
              </w:rPr>
              <w:t xml:space="preserve">, np. przez  wyłączenie dotyczące treści archiwalnych (nieużywanych i niemodyfikowanych po 23 września 2019 r.) zostaje poszerzone na całość stron internetowych i aplikacji mobilnych, w których prezentowane są wyłącznie takie archiwalne treści. </w:t>
            </w:r>
          </w:p>
          <w:p w14:paraId="3DF88EAC"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tc>
      </w:tr>
      <w:tr w:rsidR="00216BD4" w:rsidRPr="00216BD4" w14:paraId="228D2D25" w14:textId="77777777" w:rsidTr="00216BD4">
        <w:trPr>
          <w:trHeight w:val="142"/>
          <w:jc w:val="center"/>
        </w:trPr>
        <w:tc>
          <w:tcPr>
            <w:tcW w:w="10947" w:type="dxa"/>
            <w:gridSpan w:val="29"/>
            <w:shd w:val="clear" w:color="auto" w:fill="99CCFF"/>
          </w:tcPr>
          <w:p w14:paraId="4BFC210F" w14:textId="77777777" w:rsidR="00216BD4" w:rsidRPr="00216BD4" w:rsidRDefault="00216BD4" w:rsidP="00216BD4">
            <w:pPr>
              <w:numPr>
                <w:ilvl w:val="0"/>
                <w:numId w:val="3"/>
              </w:numPr>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 xml:space="preserve">Wpływ na rynek pracy </w:t>
            </w:r>
          </w:p>
        </w:tc>
      </w:tr>
      <w:tr w:rsidR="00216BD4" w:rsidRPr="00216BD4" w14:paraId="5D5BDEA7" w14:textId="77777777" w:rsidTr="00216BD4">
        <w:trPr>
          <w:trHeight w:val="142"/>
          <w:jc w:val="center"/>
        </w:trPr>
        <w:tc>
          <w:tcPr>
            <w:tcW w:w="10947" w:type="dxa"/>
            <w:gridSpan w:val="29"/>
          </w:tcPr>
          <w:p w14:paraId="1D099F1D"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p w14:paraId="1529D7A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212121"/>
                <w:lang w:eastAsia="pl-PL"/>
              </w:rPr>
              <w:t>Zmiany nie będą miały wpływu na rynek pracy.</w:t>
            </w:r>
          </w:p>
          <w:p w14:paraId="014208E5"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tc>
      </w:tr>
      <w:tr w:rsidR="00216BD4" w:rsidRPr="00216BD4" w14:paraId="5DE1500B" w14:textId="77777777" w:rsidTr="00216BD4">
        <w:trPr>
          <w:trHeight w:val="142"/>
          <w:jc w:val="center"/>
        </w:trPr>
        <w:tc>
          <w:tcPr>
            <w:tcW w:w="10947" w:type="dxa"/>
            <w:gridSpan w:val="29"/>
            <w:shd w:val="clear" w:color="auto" w:fill="99CCFF"/>
          </w:tcPr>
          <w:p w14:paraId="2879A5FB" w14:textId="77777777" w:rsidR="00216BD4" w:rsidRPr="00216BD4" w:rsidRDefault="00216BD4" w:rsidP="00216BD4">
            <w:pPr>
              <w:numPr>
                <w:ilvl w:val="0"/>
                <w:numId w:val="3"/>
              </w:numPr>
              <w:pBdr>
                <w:top w:val="nil"/>
                <w:left w:val="nil"/>
                <w:bottom w:val="nil"/>
                <w:right w:val="nil"/>
                <w:between w:val="nil"/>
              </w:pBdr>
              <w:spacing w:before="60" w:after="60" w:line="240" w:lineRule="auto"/>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Wpływ na pozostałe obszary</w:t>
            </w:r>
          </w:p>
        </w:tc>
      </w:tr>
      <w:tr w:rsidR="00216BD4" w:rsidRPr="00216BD4" w14:paraId="587D48B1" w14:textId="77777777" w:rsidTr="00216BD4">
        <w:trPr>
          <w:trHeight w:val="1031"/>
          <w:jc w:val="center"/>
        </w:trPr>
        <w:tc>
          <w:tcPr>
            <w:tcW w:w="3547" w:type="dxa"/>
            <w:gridSpan w:val="5"/>
            <w:shd w:val="clear" w:color="auto" w:fill="FFFFFF"/>
          </w:tcPr>
          <w:p w14:paraId="27C8A93D"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p w14:paraId="58114A92"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środowisko naturalne</w:t>
            </w:r>
          </w:p>
          <w:p w14:paraId="2A66B2D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lang w:eastAsia="pl-PL"/>
              </w:rPr>
              <w:t xml:space="preserve"> </w:t>
            </w:r>
            <w:r w:rsidRPr="00216BD4">
              <w:rPr>
                <w:rFonts w:ascii="Times New Roman" w:eastAsia="Times New Roman" w:hAnsi="Times New Roman" w:cs="Times New Roman"/>
                <w:color w:val="000000"/>
                <w:lang w:eastAsia="pl-PL"/>
              </w:rPr>
              <w:t>sytuacja i rozwój regionalny</w:t>
            </w:r>
          </w:p>
          <w:p w14:paraId="40E76F8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inne:      </w:t>
            </w:r>
          </w:p>
        </w:tc>
        <w:tc>
          <w:tcPr>
            <w:tcW w:w="3687" w:type="dxa"/>
            <w:gridSpan w:val="15"/>
            <w:shd w:val="clear" w:color="auto" w:fill="FFFFFF"/>
          </w:tcPr>
          <w:p w14:paraId="09AE0880"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p w14:paraId="7488DF67"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demografia</w:t>
            </w:r>
          </w:p>
          <w:p w14:paraId="41EF6881"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color w:val="000000"/>
                <w:sz w:val="20"/>
                <w:szCs w:val="20"/>
                <w:lang w:eastAsia="pl-PL"/>
              </w:rPr>
              <w:t xml:space="preserve"> </w:t>
            </w:r>
            <w:r w:rsidRPr="00216BD4">
              <w:rPr>
                <w:rFonts w:ascii="Times New Roman" w:eastAsia="Times New Roman" w:hAnsi="Times New Roman" w:cs="Times New Roman"/>
                <w:color w:val="000000"/>
                <w:lang w:eastAsia="pl-PL"/>
              </w:rPr>
              <w:t>mienie państwowe</w:t>
            </w:r>
          </w:p>
        </w:tc>
        <w:tc>
          <w:tcPr>
            <w:tcW w:w="3713" w:type="dxa"/>
            <w:gridSpan w:val="9"/>
            <w:shd w:val="clear" w:color="auto" w:fill="FFFFFF"/>
          </w:tcPr>
          <w:p w14:paraId="188900E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p>
          <w:p w14:paraId="5AF41779"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lang w:eastAsia="pl-PL"/>
              </w:rPr>
              <w:t>⛝</w:t>
            </w:r>
            <w:r w:rsidRPr="00216BD4">
              <w:rPr>
                <w:rFonts w:ascii="Times New Roman" w:eastAsia="Times New Roman" w:hAnsi="Times New Roman" w:cs="Times New Roman"/>
                <w:lang w:eastAsia="pl-PL"/>
              </w:rPr>
              <w:t xml:space="preserve"> </w:t>
            </w:r>
            <w:r w:rsidRPr="00216BD4">
              <w:rPr>
                <w:rFonts w:ascii="Times New Roman" w:eastAsia="Times New Roman" w:hAnsi="Times New Roman" w:cs="Times New Roman"/>
                <w:color w:val="000000"/>
                <w:lang w:eastAsia="pl-PL"/>
              </w:rPr>
              <w:t>informatyzacja</w:t>
            </w:r>
          </w:p>
          <w:p w14:paraId="6135655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Segoe UI Symbol" w:eastAsia="Times New Roman" w:hAnsi="Segoe UI Symbol" w:cs="Segoe UI Symbol"/>
                <w:color w:val="000000"/>
                <w:lang w:eastAsia="pl-PL"/>
              </w:rPr>
              <w:t>☐</w:t>
            </w:r>
            <w:r w:rsidRPr="00216BD4">
              <w:rPr>
                <w:rFonts w:ascii="Times New Roman" w:eastAsia="Times New Roman" w:hAnsi="Times New Roman" w:cs="Times New Roman"/>
                <w:lang w:eastAsia="pl-PL"/>
              </w:rPr>
              <w:t xml:space="preserve"> </w:t>
            </w:r>
            <w:r w:rsidRPr="00216BD4">
              <w:rPr>
                <w:rFonts w:ascii="Times New Roman" w:eastAsia="Times New Roman" w:hAnsi="Times New Roman" w:cs="Times New Roman"/>
                <w:color w:val="000000"/>
                <w:lang w:eastAsia="pl-PL"/>
              </w:rPr>
              <w:t>zdrowie</w:t>
            </w:r>
          </w:p>
        </w:tc>
      </w:tr>
      <w:tr w:rsidR="00216BD4" w:rsidRPr="00216BD4" w14:paraId="6E43F722" w14:textId="77777777" w:rsidTr="00216BD4">
        <w:trPr>
          <w:trHeight w:val="712"/>
          <w:jc w:val="center"/>
        </w:trPr>
        <w:tc>
          <w:tcPr>
            <w:tcW w:w="2243" w:type="dxa"/>
            <w:gridSpan w:val="2"/>
            <w:shd w:val="clear" w:color="auto" w:fill="FFFFFF"/>
            <w:vAlign w:val="center"/>
          </w:tcPr>
          <w:p w14:paraId="595A8DD5" w14:textId="77777777" w:rsidR="00216BD4" w:rsidRPr="00216BD4" w:rsidRDefault="00216BD4" w:rsidP="00216BD4">
            <w:pPr>
              <w:pBdr>
                <w:top w:val="nil"/>
                <w:left w:val="nil"/>
                <w:bottom w:val="nil"/>
                <w:right w:val="nil"/>
                <w:between w:val="nil"/>
              </w:pBdr>
              <w:spacing w:after="0" w:line="240" w:lineRule="auto"/>
              <w:rPr>
                <w:rFonts w:ascii="Times New Roman" w:eastAsia="Times New Roman" w:hAnsi="Times New Roman" w:cs="Times New Roman"/>
                <w:color w:val="000000"/>
                <w:lang w:eastAsia="pl-PL"/>
              </w:rPr>
            </w:pPr>
            <w:r w:rsidRPr="00216BD4">
              <w:rPr>
                <w:rFonts w:ascii="Times New Roman" w:eastAsia="Times New Roman" w:hAnsi="Times New Roman" w:cs="Times New Roman"/>
                <w:color w:val="000000"/>
                <w:lang w:eastAsia="pl-PL"/>
              </w:rPr>
              <w:t>Omówienie wpływu</w:t>
            </w:r>
          </w:p>
        </w:tc>
        <w:tc>
          <w:tcPr>
            <w:tcW w:w="8704" w:type="dxa"/>
            <w:gridSpan w:val="27"/>
            <w:shd w:val="clear" w:color="auto" w:fill="FFFFFF"/>
            <w:vAlign w:val="center"/>
          </w:tcPr>
          <w:p w14:paraId="020014ED"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p w14:paraId="582F74D4"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lang w:eastAsia="pl-PL"/>
              </w:rPr>
            </w:pPr>
            <w:r w:rsidRPr="00216BD4">
              <w:rPr>
                <w:rFonts w:ascii="Times New Roman" w:eastAsia="Times New Roman" w:hAnsi="Times New Roman" w:cs="Times New Roman"/>
                <w:lang w:eastAsia="pl-PL"/>
              </w:rPr>
              <w:t>Zmiany uproszczą procedury związane z dostępnością cyfrową stron internetowych i aplikacji mobilnych</w:t>
            </w:r>
          </w:p>
          <w:p w14:paraId="2FA1D3B8"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tc>
      </w:tr>
      <w:tr w:rsidR="00216BD4" w:rsidRPr="00216BD4" w14:paraId="27959C03" w14:textId="77777777" w:rsidTr="00216BD4">
        <w:trPr>
          <w:trHeight w:val="142"/>
          <w:jc w:val="center"/>
        </w:trPr>
        <w:tc>
          <w:tcPr>
            <w:tcW w:w="10947" w:type="dxa"/>
            <w:gridSpan w:val="29"/>
            <w:shd w:val="clear" w:color="auto" w:fill="99CCFF"/>
          </w:tcPr>
          <w:p w14:paraId="406CC385" w14:textId="77777777" w:rsidR="00216BD4" w:rsidRPr="00216BD4" w:rsidRDefault="00216BD4" w:rsidP="00216BD4">
            <w:pPr>
              <w:numPr>
                <w:ilvl w:val="0"/>
                <w:numId w:val="3"/>
              </w:numPr>
              <w:pBdr>
                <w:top w:val="nil"/>
                <w:left w:val="nil"/>
                <w:bottom w:val="nil"/>
                <w:right w:val="nil"/>
                <w:between w:val="nil"/>
              </w:pBdr>
              <w:spacing w:before="60" w:after="60" w:line="240" w:lineRule="auto"/>
              <w:ind w:left="318" w:hanging="284"/>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sz w:val="21"/>
                <w:szCs w:val="21"/>
                <w:lang w:eastAsia="pl-PL"/>
              </w:rPr>
              <w:t>Planowane wykonanie przepisów aktu prawnego</w:t>
            </w:r>
          </w:p>
        </w:tc>
      </w:tr>
      <w:tr w:rsidR="00216BD4" w:rsidRPr="00216BD4" w14:paraId="472100DB" w14:textId="77777777" w:rsidTr="00216BD4">
        <w:trPr>
          <w:trHeight w:val="142"/>
          <w:jc w:val="center"/>
        </w:trPr>
        <w:tc>
          <w:tcPr>
            <w:tcW w:w="10947" w:type="dxa"/>
            <w:gridSpan w:val="29"/>
            <w:shd w:val="clear" w:color="auto" w:fill="FFFFFF"/>
          </w:tcPr>
          <w:p w14:paraId="318ED8A3"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p w14:paraId="5019ABDF" w14:textId="77777777" w:rsidR="009B25D6" w:rsidRPr="009B25D6" w:rsidRDefault="009B25D6" w:rsidP="009B25D6">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r w:rsidRPr="009B25D6">
              <w:rPr>
                <w:rFonts w:ascii="Times New Roman" w:eastAsia="Times New Roman" w:hAnsi="Times New Roman" w:cs="Times New Roman"/>
                <w:color w:val="000000"/>
                <w:lang w:eastAsia="pl-PL"/>
              </w:rPr>
              <w:t xml:space="preserve">Ustawa </w:t>
            </w:r>
            <w:r>
              <w:rPr>
                <w:rFonts w:ascii="Times New Roman" w:eastAsia="Times New Roman" w:hAnsi="Times New Roman" w:cs="Times New Roman"/>
                <w:color w:val="000000"/>
                <w:lang w:eastAsia="pl-PL"/>
              </w:rPr>
              <w:t>wejdzie</w:t>
            </w:r>
            <w:r w:rsidRPr="009B25D6">
              <w:rPr>
                <w:rFonts w:ascii="Times New Roman" w:eastAsia="Times New Roman" w:hAnsi="Times New Roman" w:cs="Times New Roman"/>
                <w:color w:val="000000"/>
                <w:lang w:eastAsia="pl-PL"/>
              </w:rPr>
              <w:t xml:space="preserve"> w życie po upływie 30 dni od dnia ogłoszenia.</w:t>
            </w:r>
          </w:p>
          <w:p w14:paraId="03E36EDF"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tc>
      </w:tr>
      <w:tr w:rsidR="00216BD4" w:rsidRPr="00216BD4" w14:paraId="79208CA9" w14:textId="77777777" w:rsidTr="00216BD4">
        <w:trPr>
          <w:trHeight w:val="142"/>
          <w:jc w:val="center"/>
        </w:trPr>
        <w:tc>
          <w:tcPr>
            <w:tcW w:w="10947" w:type="dxa"/>
            <w:gridSpan w:val="29"/>
            <w:shd w:val="clear" w:color="auto" w:fill="99CCFF"/>
          </w:tcPr>
          <w:p w14:paraId="582AB2F7" w14:textId="77777777" w:rsidR="00216BD4" w:rsidRPr="00216BD4" w:rsidRDefault="00216BD4" w:rsidP="00216BD4">
            <w:pPr>
              <w:numPr>
                <w:ilvl w:val="0"/>
                <w:numId w:val="3"/>
              </w:numPr>
              <w:pBdr>
                <w:top w:val="nil"/>
                <w:left w:val="nil"/>
                <w:bottom w:val="nil"/>
                <w:right w:val="nil"/>
                <w:between w:val="nil"/>
              </w:pBdr>
              <w:spacing w:before="60" w:after="60" w:line="240" w:lineRule="auto"/>
              <w:ind w:left="318" w:hanging="284"/>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t xml:space="preserve"> </w:t>
            </w:r>
            <w:r w:rsidRPr="00216BD4">
              <w:rPr>
                <w:rFonts w:ascii="Times New Roman" w:eastAsia="Times New Roman" w:hAnsi="Times New Roman" w:cs="Times New Roman"/>
                <w:b/>
                <w:color w:val="000000"/>
                <w:sz w:val="21"/>
                <w:szCs w:val="21"/>
                <w:lang w:eastAsia="pl-PL"/>
              </w:rPr>
              <w:t>W jaki sposób i kiedy nastąpi ewaluacja efektów projektu oraz jakie mierniki zostaną zastosowane?</w:t>
            </w:r>
          </w:p>
        </w:tc>
      </w:tr>
      <w:tr w:rsidR="00216BD4" w:rsidRPr="00216BD4" w14:paraId="3F17E939" w14:textId="77777777" w:rsidTr="00216BD4">
        <w:trPr>
          <w:trHeight w:val="142"/>
          <w:jc w:val="center"/>
        </w:trPr>
        <w:tc>
          <w:tcPr>
            <w:tcW w:w="10947" w:type="dxa"/>
            <w:gridSpan w:val="29"/>
            <w:shd w:val="clear" w:color="auto" w:fill="FFFFFF"/>
          </w:tcPr>
          <w:p w14:paraId="70C134EA" w14:textId="77777777" w:rsidR="00216BD4" w:rsidRPr="00216BD4" w:rsidRDefault="00216BD4" w:rsidP="00216BD4">
            <w:pPr>
              <w:pBdr>
                <w:top w:val="nil"/>
                <w:left w:val="nil"/>
                <w:bottom w:val="nil"/>
                <w:right w:val="nil"/>
                <w:between w:val="nil"/>
              </w:pBdr>
              <w:spacing w:after="120" w:line="240" w:lineRule="auto"/>
              <w:rPr>
                <w:rFonts w:ascii="Times New Roman" w:eastAsia="Times New Roman" w:hAnsi="Times New Roman" w:cs="Times New Roman"/>
                <w:lang w:eastAsia="pl-PL"/>
              </w:rPr>
            </w:pPr>
            <w:r w:rsidRPr="00216BD4">
              <w:rPr>
                <w:rFonts w:ascii="Times New Roman" w:eastAsia="Times New Roman" w:hAnsi="Times New Roman" w:cs="Times New Roman"/>
                <w:lang w:eastAsia="pl-PL"/>
              </w:rPr>
              <w:t xml:space="preserve">Ewaluacja efektów </w:t>
            </w:r>
            <w:r w:rsidR="00D1120E" w:rsidRPr="00216BD4">
              <w:rPr>
                <w:rFonts w:ascii="Times New Roman" w:eastAsia="Times New Roman" w:hAnsi="Times New Roman" w:cs="Times New Roman"/>
                <w:lang w:eastAsia="pl-PL"/>
              </w:rPr>
              <w:t>nastąpi</w:t>
            </w:r>
            <w:r w:rsidRPr="00216BD4">
              <w:rPr>
                <w:rFonts w:ascii="Times New Roman" w:eastAsia="Times New Roman" w:hAnsi="Times New Roman" w:cs="Times New Roman"/>
                <w:lang w:eastAsia="pl-PL"/>
              </w:rPr>
              <w:t xml:space="preserve"> dla części przepisów natychmiast po ich wejściu w życie. Prowadzony jest stały monitoring </w:t>
            </w:r>
            <w:r w:rsidRPr="00216BD4">
              <w:rPr>
                <w:rFonts w:ascii="Times New Roman" w:eastAsia="Times New Roman" w:hAnsi="Times New Roman" w:cs="Times New Roman"/>
                <w:lang w:eastAsia="pl-PL"/>
              </w:rPr>
              <w:lastRenderedPageBreak/>
              <w:t>dostępności cyfrowej stron internetowych, który pozwoli ocenić stan wdrożenia zmian.</w:t>
            </w:r>
          </w:p>
        </w:tc>
      </w:tr>
      <w:tr w:rsidR="00216BD4" w:rsidRPr="00216BD4" w14:paraId="24F7A3A4" w14:textId="77777777" w:rsidTr="00216BD4">
        <w:trPr>
          <w:trHeight w:val="142"/>
          <w:jc w:val="center"/>
        </w:trPr>
        <w:tc>
          <w:tcPr>
            <w:tcW w:w="10947" w:type="dxa"/>
            <w:gridSpan w:val="29"/>
            <w:shd w:val="clear" w:color="auto" w:fill="99CCFF"/>
          </w:tcPr>
          <w:p w14:paraId="135AFF0F" w14:textId="77777777" w:rsidR="00216BD4" w:rsidRPr="00216BD4" w:rsidRDefault="00216BD4" w:rsidP="00216BD4">
            <w:pPr>
              <w:numPr>
                <w:ilvl w:val="0"/>
                <w:numId w:val="3"/>
              </w:numPr>
              <w:pBdr>
                <w:top w:val="nil"/>
                <w:left w:val="nil"/>
                <w:bottom w:val="nil"/>
                <w:right w:val="nil"/>
                <w:between w:val="nil"/>
              </w:pBdr>
              <w:spacing w:before="60" w:after="60" w:line="240" w:lineRule="auto"/>
              <w:ind w:left="318" w:hanging="284"/>
              <w:jc w:val="both"/>
              <w:rPr>
                <w:rFonts w:ascii="Times New Roman" w:eastAsia="Times New Roman" w:hAnsi="Times New Roman" w:cs="Times New Roman"/>
                <w:color w:val="000000"/>
                <w:lang w:eastAsia="pl-PL"/>
              </w:rPr>
            </w:pPr>
            <w:r w:rsidRPr="00216BD4">
              <w:rPr>
                <w:rFonts w:ascii="Times New Roman" w:eastAsia="Times New Roman" w:hAnsi="Times New Roman" w:cs="Times New Roman"/>
                <w:b/>
                <w:color w:val="000000"/>
                <w:lang w:eastAsia="pl-PL"/>
              </w:rPr>
              <w:lastRenderedPageBreak/>
              <w:t xml:space="preserve">Załączniki </w:t>
            </w:r>
            <w:r w:rsidRPr="00216BD4">
              <w:rPr>
                <w:rFonts w:ascii="Times New Roman" w:eastAsia="Times New Roman" w:hAnsi="Times New Roman" w:cs="Times New Roman"/>
                <w:b/>
                <w:color w:val="000000"/>
                <w:sz w:val="21"/>
                <w:szCs w:val="21"/>
                <w:lang w:eastAsia="pl-PL"/>
              </w:rPr>
              <w:t>(istotne dokumenty źródłowe, badania, analizy itp.</w:t>
            </w:r>
            <w:r w:rsidRPr="00216BD4">
              <w:rPr>
                <w:rFonts w:ascii="Times New Roman" w:eastAsia="Times New Roman" w:hAnsi="Times New Roman" w:cs="Times New Roman"/>
                <w:b/>
                <w:color w:val="000000"/>
                <w:lang w:eastAsia="pl-PL"/>
              </w:rPr>
              <w:t xml:space="preserve">) </w:t>
            </w:r>
          </w:p>
        </w:tc>
      </w:tr>
      <w:tr w:rsidR="00216BD4" w:rsidRPr="00216BD4" w14:paraId="3DDE812A" w14:textId="77777777" w:rsidTr="00216BD4">
        <w:trPr>
          <w:trHeight w:val="142"/>
          <w:jc w:val="center"/>
        </w:trPr>
        <w:tc>
          <w:tcPr>
            <w:tcW w:w="10947" w:type="dxa"/>
            <w:gridSpan w:val="29"/>
            <w:shd w:val="clear" w:color="auto" w:fill="FFFFFF"/>
          </w:tcPr>
          <w:p w14:paraId="4B4D7F1A"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pl-PL"/>
              </w:rPr>
            </w:pPr>
          </w:p>
          <w:p w14:paraId="7711EEF2" w14:textId="77777777" w:rsidR="00216BD4" w:rsidRPr="00216BD4" w:rsidRDefault="00DB346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 dotyczy.</w:t>
            </w:r>
          </w:p>
          <w:p w14:paraId="0608A657"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p w14:paraId="14E204CA" w14:textId="77777777" w:rsidR="00216BD4" w:rsidRPr="00216BD4" w:rsidRDefault="00216BD4" w:rsidP="00216BD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pl-PL"/>
              </w:rPr>
            </w:pPr>
          </w:p>
        </w:tc>
      </w:tr>
    </w:tbl>
    <w:p w14:paraId="1C0E028D" w14:textId="77777777" w:rsidR="00216BD4" w:rsidRDefault="00216BD4">
      <w:pPr>
        <w:spacing w:after="0" w:line="360" w:lineRule="auto"/>
        <w:rPr>
          <w:rFonts w:ascii="Times" w:eastAsiaTheme="minorEastAsia" w:hAnsi="Times" w:cs="Arial"/>
          <w:bCs/>
          <w:sz w:val="24"/>
          <w:szCs w:val="20"/>
          <w:lang w:eastAsia="pl-PL"/>
        </w:rPr>
      </w:pPr>
    </w:p>
    <w:sectPr w:rsidR="00216BD4"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35B6C" w14:textId="77777777" w:rsidR="00037B45" w:rsidRDefault="00037B45">
      <w:r>
        <w:separator/>
      </w:r>
    </w:p>
  </w:endnote>
  <w:endnote w:type="continuationSeparator" w:id="0">
    <w:p w14:paraId="280730CD" w14:textId="77777777" w:rsidR="00037B45" w:rsidRDefault="0003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F5F6" w14:textId="77777777" w:rsidR="00037B45" w:rsidRDefault="00037B45">
      <w:r>
        <w:separator/>
      </w:r>
    </w:p>
  </w:footnote>
  <w:footnote w:type="continuationSeparator" w:id="0">
    <w:p w14:paraId="01FA5BB5" w14:textId="77777777" w:rsidR="00037B45" w:rsidRDefault="0003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FDBC" w14:textId="77777777" w:rsidR="00D744DD" w:rsidRPr="00B371CC" w:rsidRDefault="00D744DD" w:rsidP="00B371CC">
    <w:pPr>
      <w:pStyle w:val="Nagwek"/>
      <w:jc w:val="center"/>
    </w:pPr>
    <w:r>
      <w:t xml:space="preserve">– </w:t>
    </w:r>
    <w:r>
      <w:fldChar w:fldCharType="begin"/>
    </w:r>
    <w:r>
      <w:instrText xml:space="preserve"> PAGE  \* MERGEFORMAT </w:instrText>
    </w:r>
    <w:r>
      <w:fldChar w:fldCharType="separate"/>
    </w:r>
    <w:r w:rsidR="001C3847">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3DF"/>
    <w:multiLevelType w:val="hybridMultilevel"/>
    <w:tmpl w:val="2932BA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B496C34"/>
    <w:multiLevelType w:val="multilevel"/>
    <w:tmpl w:val="00528A2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D2875C0"/>
    <w:multiLevelType w:val="hybridMultilevel"/>
    <w:tmpl w:val="4EEAC6A0"/>
    <w:lvl w:ilvl="0" w:tplc="04150011">
      <w:start w:val="1"/>
      <w:numFmt w:val="decimal"/>
      <w:lvlText w:val="%1)"/>
      <w:lvlJc w:val="left"/>
      <w:pPr>
        <w:ind w:left="1720" w:hanging="360"/>
      </w:pPr>
      <w:rPr>
        <w:rFonts w:hint="default"/>
      </w:rPr>
    </w:lvl>
    <w:lvl w:ilvl="1" w:tplc="04150019">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3">
    <w:nsid w:val="5BD82BFA"/>
    <w:multiLevelType w:val="hybridMultilevel"/>
    <w:tmpl w:val="8C74E8E6"/>
    <w:lvl w:ilvl="0" w:tplc="8576875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745BCE"/>
    <w:multiLevelType w:val="hybridMultilevel"/>
    <w:tmpl w:val="CB389E92"/>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
    <w:nsid w:val="64916450"/>
    <w:multiLevelType w:val="hybridMultilevel"/>
    <w:tmpl w:val="6900AD2E"/>
    <w:lvl w:ilvl="0" w:tplc="1626FF78">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65AB2147"/>
    <w:multiLevelType w:val="hybridMultilevel"/>
    <w:tmpl w:val="C2805D12"/>
    <w:lvl w:ilvl="0" w:tplc="B1744D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A30928"/>
    <w:multiLevelType w:val="hybridMultilevel"/>
    <w:tmpl w:val="CEF88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CD40C4"/>
    <w:multiLevelType w:val="hybridMultilevel"/>
    <w:tmpl w:val="CA4C5876"/>
    <w:lvl w:ilvl="0" w:tplc="0E924308">
      <w:start w:val="1"/>
      <w:numFmt w:val="decimal"/>
      <w:lvlText w:val="%1)"/>
      <w:lvlJc w:val="left"/>
      <w:pPr>
        <w:ind w:left="720" w:hanging="360"/>
      </w:pPr>
    </w:lvl>
    <w:lvl w:ilvl="1" w:tplc="F58C8BAE">
      <w:start w:val="1"/>
      <w:numFmt w:val="lowerLetter"/>
      <w:lvlText w:val="%2."/>
      <w:lvlJc w:val="left"/>
      <w:pPr>
        <w:ind w:left="1440" w:hanging="360"/>
      </w:pPr>
    </w:lvl>
    <w:lvl w:ilvl="2" w:tplc="130284E0">
      <w:start w:val="1"/>
      <w:numFmt w:val="lowerRoman"/>
      <w:lvlText w:val="%3."/>
      <w:lvlJc w:val="right"/>
      <w:pPr>
        <w:ind w:left="2160" w:hanging="180"/>
      </w:pPr>
    </w:lvl>
    <w:lvl w:ilvl="3" w:tplc="09346058">
      <w:start w:val="1"/>
      <w:numFmt w:val="decimal"/>
      <w:lvlText w:val="%4."/>
      <w:lvlJc w:val="left"/>
      <w:pPr>
        <w:ind w:left="2880" w:hanging="360"/>
      </w:pPr>
    </w:lvl>
    <w:lvl w:ilvl="4" w:tplc="99E221AA">
      <w:start w:val="1"/>
      <w:numFmt w:val="lowerLetter"/>
      <w:lvlText w:val="%5."/>
      <w:lvlJc w:val="left"/>
      <w:pPr>
        <w:ind w:left="3600" w:hanging="360"/>
      </w:pPr>
    </w:lvl>
    <w:lvl w:ilvl="5" w:tplc="BA4CA3AC">
      <w:start w:val="1"/>
      <w:numFmt w:val="lowerRoman"/>
      <w:lvlText w:val="%6."/>
      <w:lvlJc w:val="right"/>
      <w:pPr>
        <w:ind w:left="4320" w:hanging="180"/>
      </w:pPr>
    </w:lvl>
    <w:lvl w:ilvl="6" w:tplc="69764C8A">
      <w:start w:val="1"/>
      <w:numFmt w:val="decimal"/>
      <w:lvlText w:val="%7."/>
      <w:lvlJc w:val="left"/>
      <w:pPr>
        <w:ind w:left="5040" w:hanging="360"/>
      </w:pPr>
    </w:lvl>
    <w:lvl w:ilvl="7" w:tplc="C56447D6">
      <w:start w:val="1"/>
      <w:numFmt w:val="lowerLetter"/>
      <w:lvlText w:val="%8."/>
      <w:lvlJc w:val="left"/>
      <w:pPr>
        <w:ind w:left="5760" w:hanging="360"/>
      </w:pPr>
    </w:lvl>
    <w:lvl w:ilvl="8" w:tplc="690C7E26">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8F"/>
    <w:rsid w:val="000012DA"/>
    <w:rsid w:val="0000246E"/>
    <w:rsid w:val="00003862"/>
    <w:rsid w:val="00004CC6"/>
    <w:rsid w:val="000123BF"/>
    <w:rsid w:val="00012A35"/>
    <w:rsid w:val="00015C44"/>
    <w:rsid w:val="00016099"/>
    <w:rsid w:val="00017DC2"/>
    <w:rsid w:val="00021522"/>
    <w:rsid w:val="00023471"/>
    <w:rsid w:val="00023F13"/>
    <w:rsid w:val="000252FD"/>
    <w:rsid w:val="00030634"/>
    <w:rsid w:val="000319C1"/>
    <w:rsid w:val="00031A8B"/>
    <w:rsid w:val="00031BCA"/>
    <w:rsid w:val="00031E68"/>
    <w:rsid w:val="000330FA"/>
    <w:rsid w:val="00033583"/>
    <w:rsid w:val="0003362F"/>
    <w:rsid w:val="00036B63"/>
    <w:rsid w:val="00037B45"/>
    <w:rsid w:val="00037E1A"/>
    <w:rsid w:val="00043495"/>
    <w:rsid w:val="00046A75"/>
    <w:rsid w:val="00047312"/>
    <w:rsid w:val="00050832"/>
    <w:rsid w:val="000508BD"/>
    <w:rsid w:val="000517AB"/>
    <w:rsid w:val="00052426"/>
    <w:rsid w:val="0005339C"/>
    <w:rsid w:val="0005571B"/>
    <w:rsid w:val="00057AB3"/>
    <w:rsid w:val="00060076"/>
    <w:rsid w:val="00060432"/>
    <w:rsid w:val="000609CA"/>
    <w:rsid w:val="00060D87"/>
    <w:rsid w:val="000615A5"/>
    <w:rsid w:val="00064E4C"/>
    <w:rsid w:val="000657BF"/>
    <w:rsid w:val="00066901"/>
    <w:rsid w:val="00071BEE"/>
    <w:rsid w:val="000736CD"/>
    <w:rsid w:val="0007533B"/>
    <w:rsid w:val="0007545D"/>
    <w:rsid w:val="000760BF"/>
    <w:rsid w:val="0007613E"/>
    <w:rsid w:val="00076BFC"/>
    <w:rsid w:val="000814A7"/>
    <w:rsid w:val="000815F7"/>
    <w:rsid w:val="0008557B"/>
    <w:rsid w:val="00085CE7"/>
    <w:rsid w:val="0008654E"/>
    <w:rsid w:val="00087045"/>
    <w:rsid w:val="000906EE"/>
    <w:rsid w:val="00090A22"/>
    <w:rsid w:val="00090B3E"/>
    <w:rsid w:val="00091BA2"/>
    <w:rsid w:val="000944EF"/>
    <w:rsid w:val="0009732D"/>
    <w:rsid w:val="000973F0"/>
    <w:rsid w:val="000A1296"/>
    <w:rsid w:val="000A18A2"/>
    <w:rsid w:val="000A1C27"/>
    <w:rsid w:val="000A1DAD"/>
    <w:rsid w:val="000A2649"/>
    <w:rsid w:val="000A323B"/>
    <w:rsid w:val="000A5CA2"/>
    <w:rsid w:val="000A66D1"/>
    <w:rsid w:val="000A767F"/>
    <w:rsid w:val="000B298D"/>
    <w:rsid w:val="000B5B2D"/>
    <w:rsid w:val="000B5DCE"/>
    <w:rsid w:val="000B7221"/>
    <w:rsid w:val="000C05BA"/>
    <w:rsid w:val="000C0E8F"/>
    <w:rsid w:val="000C16E6"/>
    <w:rsid w:val="000C2A0D"/>
    <w:rsid w:val="000C2A68"/>
    <w:rsid w:val="000C4BC4"/>
    <w:rsid w:val="000D0110"/>
    <w:rsid w:val="000D2468"/>
    <w:rsid w:val="000D318A"/>
    <w:rsid w:val="000D6173"/>
    <w:rsid w:val="000D65EB"/>
    <w:rsid w:val="000D6F83"/>
    <w:rsid w:val="000D76B7"/>
    <w:rsid w:val="000E25CC"/>
    <w:rsid w:val="000E3694"/>
    <w:rsid w:val="000E490F"/>
    <w:rsid w:val="000E6241"/>
    <w:rsid w:val="000F2BE3"/>
    <w:rsid w:val="000F3D0D"/>
    <w:rsid w:val="000F6ED4"/>
    <w:rsid w:val="000F7A6E"/>
    <w:rsid w:val="001019C9"/>
    <w:rsid w:val="00101AB2"/>
    <w:rsid w:val="001042BA"/>
    <w:rsid w:val="00104A68"/>
    <w:rsid w:val="00106D03"/>
    <w:rsid w:val="00110465"/>
    <w:rsid w:val="00110628"/>
    <w:rsid w:val="0011245A"/>
    <w:rsid w:val="00113F5F"/>
    <w:rsid w:val="0011493E"/>
    <w:rsid w:val="00114D62"/>
    <w:rsid w:val="00115B72"/>
    <w:rsid w:val="00116851"/>
    <w:rsid w:val="00116F24"/>
    <w:rsid w:val="001209EC"/>
    <w:rsid w:val="00120A9E"/>
    <w:rsid w:val="00125A9C"/>
    <w:rsid w:val="00125B5A"/>
    <w:rsid w:val="001270A2"/>
    <w:rsid w:val="00131237"/>
    <w:rsid w:val="001318B3"/>
    <w:rsid w:val="001329AC"/>
    <w:rsid w:val="00132E42"/>
    <w:rsid w:val="00134CA0"/>
    <w:rsid w:val="0013777D"/>
    <w:rsid w:val="0014026F"/>
    <w:rsid w:val="00144E8E"/>
    <w:rsid w:val="0014653C"/>
    <w:rsid w:val="00146FF4"/>
    <w:rsid w:val="00147A47"/>
    <w:rsid w:val="00147AA1"/>
    <w:rsid w:val="001520CF"/>
    <w:rsid w:val="0015667C"/>
    <w:rsid w:val="00157110"/>
    <w:rsid w:val="0015742A"/>
    <w:rsid w:val="00157DA1"/>
    <w:rsid w:val="00163147"/>
    <w:rsid w:val="00164C57"/>
    <w:rsid w:val="00164C9D"/>
    <w:rsid w:val="001702A9"/>
    <w:rsid w:val="00172F7A"/>
    <w:rsid w:val="00173150"/>
    <w:rsid w:val="00173390"/>
    <w:rsid w:val="001736F0"/>
    <w:rsid w:val="00173BB3"/>
    <w:rsid w:val="001740D0"/>
    <w:rsid w:val="00174F2C"/>
    <w:rsid w:val="001764C1"/>
    <w:rsid w:val="00180F2A"/>
    <w:rsid w:val="0018368E"/>
    <w:rsid w:val="00184B91"/>
    <w:rsid w:val="00184D4A"/>
    <w:rsid w:val="00186EC1"/>
    <w:rsid w:val="00187A1F"/>
    <w:rsid w:val="00191E1F"/>
    <w:rsid w:val="0019473B"/>
    <w:rsid w:val="001952B1"/>
    <w:rsid w:val="00196E39"/>
    <w:rsid w:val="00197649"/>
    <w:rsid w:val="001A01FB"/>
    <w:rsid w:val="001A10E9"/>
    <w:rsid w:val="001A183D"/>
    <w:rsid w:val="001A2B65"/>
    <w:rsid w:val="001A3CD3"/>
    <w:rsid w:val="001A5BEF"/>
    <w:rsid w:val="001A7F15"/>
    <w:rsid w:val="001B342E"/>
    <w:rsid w:val="001C0AC4"/>
    <w:rsid w:val="001C1832"/>
    <w:rsid w:val="001C188C"/>
    <w:rsid w:val="001C2250"/>
    <w:rsid w:val="001C2B60"/>
    <w:rsid w:val="001C3847"/>
    <w:rsid w:val="001C532B"/>
    <w:rsid w:val="001C6C0A"/>
    <w:rsid w:val="001D0B55"/>
    <w:rsid w:val="001D1783"/>
    <w:rsid w:val="001D25C9"/>
    <w:rsid w:val="001D53CD"/>
    <w:rsid w:val="001D55A3"/>
    <w:rsid w:val="001D5AF5"/>
    <w:rsid w:val="001E1E73"/>
    <w:rsid w:val="001E3B8F"/>
    <w:rsid w:val="001E4E0C"/>
    <w:rsid w:val="001E526D"/>
    <w:rsid w:val="001E5655"/>
    <w:rsid w:val="001E6578"/>
    <w:rsid w:val="001E7CB1"/>
    <w:rsid w:val="001F1832"/>
    <w:rsid w:val="001F220F"/>
    <w:rsid w:val="001F23D6"/>
    <w:rsid w:val="001F25B3"/>
    <w:rsid w:val="001F4DDB"/>
    <w:rsid w:val="001F6616"/>
    <w:rsid w:val="00201DF4"/>
    <w:rsid w:val="00202BD4"/>
    <w:rsid w:val="00204A97"/>
    <w:rsid w:val="00210E7A"/>
    <w:rsid w:val="0021149F"/>
    <w:rsid w:val="002114EF"/>
    <w:rsid w:val="00216128"/>
    <w:rsid w:val="002166AD"/>
    <w:rsid w:val="00216BD4"/>
    <w:rsid w:val="00217151"/>
    <w:rsid w:val="00217871"/>
    <w:rsid w:val="00221ED8"/>
    <w:rsid w:val="002231EA"/>
    <w:rsid w:val="00223522"/>
    <w:rsid w:val="00223FDF"/>
    <w:rsid w:val="002279C0"/>
    <w:rsid w:val="00234FC5"/>
    <w:rsid w:val="00236891"/>
    <w:rsid w:val="0023705C"/>
    <w:rsid w:val="0023727E"/>
    <w:rsid w:val="00242081"/>
    <w:rsid w:val="00243777"/>
    <w:rsid w:val="002441CD"/>
    <w:rsid w:val="002470A5"/>
    <w:rsid w:val="0024768F"/>
    <w:rsid w:val="002501A3"/>
    <w:rsid w:val="0025166C"/>
    <w:rsid w:val="002555D4"/>
    <w:rsid w:val="00261A16"/>
    <w:rsid w:val="00263522"/>
    <w:rsid w:val="00263A28"/>
    <w:rsid w:val="00264EC6"/>
    <w:rsid w:val="00270F50"/>
    <w:rsid w:val="00271013"/>
    <w:rsid w:val="00273FE4"/>
    <w:rsid w:val="002765B4"/>
    <w:rsid w:val="00276A94"/>
    <w:rsid w:val="00277D15"/>
    <w:rsid w:val="00283538"/>
    <w:rsid w:val="002915B1"/>
    <w:rsid w:val="0029405D"/>
    <w:rsid w:val="00294FA6"/>
    <w:rsid w:val="00295A6F"/>
    <w:rsid w:val="0029797F"/>
    <w:rsid w:val="002A167A"/>
    <w:rsid w:val="002A20C4"/>
    <w:rsid w:val="002A3936"/>
    <w:rsid w:val="002A570F"/>
    <w:rsid w:val="002A7292"/>
    <w:rsid w:val="002A7358"/>
    <w:rsid w:val="002A7902"/>
    <w:rsid w:val="002B05A7"/>
    <w:rsid w:val="002B0D94"/>
    <w:rsid w:val="002B0F6B"/>
    <w:rsid w:val="002B23B8"/>
    <w:rsid w:val="002B281C"/>
    <w:rsid w:val="002B4429"/>
    <w:rsid w:val="002B68A6"/>
    <w:rsid w:val="002B7FAF"/>
    <w:rsid w:val="002C62BF"/>
    <w:rsid w:val="002D0C4F"/>
    <w:rsid w:val="002D1364"/>
    <w:rsid w:val="002D1D0D"/>
    <w:rsid w:val="002D3191"/>
    <w:rsid w:val="002D4D30"/>
    <w:rsid w:val="002D5000"/>
    <w:rsid w:val="002D598D"/>
    <w:rsid w:val="002D7188"/>
    <w:rsid w:val="002E1DE3"/>
    <w:rsid w:val="002E2AB6"/>
    <w:rsid w:val="002E3F34"/>
    <w:rsid w:val="002E53AE"/>
    <w:rsid w:val="002E5F79"/>
    <w:rsid w:val="002E64FA"/>
    <w:rsid w:val="002F0A00"/>
    <w:rsid w:val="002F0CFA"/>
    <w:rsid w:val="002F0EBC"/>
    <w:rsid w:val="002F187D"/>
    <w:rsid w:val="002F4127"/>
    <w:rsid w:val="002F669F"/>
    <w:rsid w:val="002F6A78"/>
    <w:rsid w:val="00301C97"/>
    <w:rsid w:val="00305628"/>
    <w:rsid w:val="00306430"/>
    <w:rsid w:val="00307109"/>
    <w:rsid w:val="0031004C"/>
    <w:rsid w:val="003105F6"/>
    <w:rsid w:val="00311297"/>
    <w:rsid w:val="003113BE"/>
    <w:rsid w:val="003122CA"/>
    <w:rsid w:val="003148FD"/>
    <w:rsid w:val="00315EDA"/>
    <w:rsid w:val="003172E8"/>
    <w:rsid w:val="00321080"/>
    <w:rsid w:val="00322D45"/>
    <w:rsid w:val="0032569A"/>
    <w:rsid w:val="00325A1F"/>
    <w:rsid w:val="003268F9"/>
    <w:rsid w:val="00330BAF"/>
    <w:rsid w:val="00331FFC"/>
    <w:rsid w:val="00334E3A"/>
    <w:rsid w:val="003352B8"/>
    <w:rsid w:val="003361DD"/>
    <w:rsid w:val="00341A6A"/>
    <w:rsid w:val="00343874"/>
    <w:rsid w:val="00345B9C"/>
    <w:rsid w:val="00346AFC"/>
    <w:rsid w:val="00352DAE"/>
    <w:rsid w:val="0035314D"/>
    <w:rsid w:val="00354EB9"/>
    <w:rsid w:val="003602AE"/>
    <w:rsid w:val="00360929"/>
    <w:rsid w:val="003647D5"/>
    <w:rsid w:val="0036710F"/>
    <w:rsid w:val="003674B0"/>
    <w:rsid w:val="003720F5"/>
    <w:rsid w:val="0037727C"/>
    <w:rsid w:val="00377E70"/>
    <w:rsid w:val="00380904"/>
    <w:rsid w:val="003823EE"/>
    <w:rsid w:val="00382960"/>
    <w:rsid w:val="00382CC7"/>
    <w:rsid w:val="00382D53"/>
    <w:rsid w:val="003846F7"/>
    <w:rsid w:val="003851ED"/>
    <w:rsid w:val="00385B39"/>
    <w:rsid w:val="00386785"/>
    <w:rsid w:val="00390E89"/>
    <w:rsid w:val="00390F01"/>
    <w:rsid w:val="003912A1"/>
    <w:rsid w:val="00391B1A"/>
    <w:rsid w:val="00394423"/>
    <w:rsid w:val="00396942"/>
    <w:rsid w:val="00396B49"/>
    <w:rsid w:val="00396E3E"/>
    <w:rsid w:val="003A306E"/>
    <w:rsid w:val="003A60DC"/>
    <w:rsid w:val="003A6A46"/>
    <w:rsid w:val="003A769E"/>
    <w:rsid w:val="003A7A63"/>
    <w:rsid w:val="003B000C"/>
    <w:rsid w:val="003B0F1D"/>
    <w:rsid w:val="003B4A57"/>
    <w:rsid w:val="003C0AD9"/>
    <w:rsid w:val="003C0DCC"/>
    <w:rsid w:val="003C0ED0"/>
    <w:rsid w:val="003C1D49"/>
    <w:rsid w:val="003C35C4"/>
    <w:rsid w:val="003C68D1"/>
    <w:rsid w:val="003D12C2"/>
    <w:rsid w:val="003D266C"/>
    <w:rsid w:val="003D31B9"/>
    <w:rsid w:val="003D350F"/>
    <w:rsid w:val="003D3867"/>
    <w:rsid w:val="003D4F5B"/>
    <w:rsid w:val="003E0D1A"/>
    <w:rsid w:val="003E2DA3"/>
    <w:rsid w:val="003E375B"/>
    <w:rsid w:val="003E667B"/>
    <w:rsid w:val="003F020D"/>
    <w:rsid w:val="003F03D9"/>
    <w:rsid w:val="003F2FBE"/>
    <w:rsid w:val="003F318D"/>
    <w:rsid w:val="003F3562"/>
    <w:rsid w:val="003F5BAE"/>
    <w:rsid w:val="003F6ED7"/>
    <w:rsid w:val="00401C84"/>
    <w:rsid w:val="00403210"/>
    <w:rsid w:val="004035BB"/>
    <w:rsid w:val="004035EB"/>
    <w:rsid w:val="00406BD4"/>
    <w:rsid w:val="00407332"/>
    <w:rsid w:val="00407828"/>
    <w:rsid w:val="0041050B"/>
    <w:rsid w:val="00413328"/>
    <w:rsid w:val="00413D8E"/>
    <w:rsid w:val="004140F2"/>
    <w:rsid w:val="00415000"/>
    <w:rsid w:val="00417B22"/>
    <w:rsid w:val="00421085"/>
    <w:rsid w:val="00422766"/>
    <w:rsid w:val="00423B7C"/>
    <w:rsid w:val="0042465E"/>
    <w:rsid w:val="00424DF7"/>
    <w:rsid w:val="00426964"/>
    <w:rsid w:val="00432B76"/>
    <w:rsid w:val="0043375F"/>
    <w:rsid w:val="0043485E"/>
    <w:rsid w:val="00434D01"/>
    <w:rsid w:val="00435D26"/>
    <w:rsid w:val="00440C99"/>
    <w:rsid w:val="0044175C"/>
    <w:rsid w:val="00443A27"/>
    <w:rsid w:val="00445F4D"/>
    <w:rsid w:val="00447DFE"/>
    <w:rsid w:val="004504C0"/>
    <w:rsid w:val="004512EC"/>
    <w:rsid w:val="0045457D"/>
    <w:rsid w:val="004550FB"/>
    <w:rsid w:val="00455DD5"/>
    <w:rsid w:val="00456184"/>
    <w:rsid w:val="0046111A"/>
    <w:rsid w:val="00461C36"/>
    <w:rsid w:val="00461CBD"/>
    <w:rsid w:val="00462946"/>
    <w:rsid w:val="00463F43"/>
    <w:rsid w:val="00464B94"/>
    <w:rsid w:val="004653A8"/>
    <w:rsid w:val="004657E0"/>
    <w:rsid w:val="00465A0B"/>
    <w:rsid w:val="00467CBE"/>
    <w:rsid w:val="0047077C"/>
    <w:rsid w:val="00470B05"/>
    <w:rsid w:val="00471979"/>
    <w:rsid w:val="0047207C"/>
    <w:rsid w:val="00472CD6"/>
    <w:rsid w:val="00474E3C"/>
    <w:rsid w:val="0047514B"/>
    <w:rsid w:val="00480A58"/>
    <w:rsid w:val="00482151"/>
    <w:rsid w:val="004835AD"/>
    <w:rsid w:val="00485C67"/>
    <w:rsid w:val="00485FAD"/>
    <w:rsid w:val="00487AED"/>
    <w:rsid w:val="00491EDF"/>
    <w:rsid w:val="00492A3F"/>
    <w:rsid w:val="00492F8C"/>
    <w:rsid w:val="00493A03"/>
    <w:rsid w:val="00494F62"/>
    <w:rsid w:val="00497446"/>
    <w:rsid w:val="004A2001"/>
    <w:rsid w:val="004A3590"/>
    <w:rsid w:val="004B00A7"/>
    <w:rsid w:val="004B25E2"/>
    <w:rsid w:val="004B34D7"/>
    <w:rsid w:val="004B4B0F"/>
    <w:rsid w:val="004B5037"/>
    <w:rsid w:val="004B55C9"/>
    <w:rsid w:val="004B5B2F"/>
    <w:rsid w:val="004B626A"/>
    <w:rsid w:val="004B660E"/>
    <w:rsid w:val="004B7352"/>
    <w:rsid w:val="004C05BD"/>
    <w:rsid w:val="004C3B06"/>
    <w:rsid w:val="004C3F97"/>
    <w:rsid w:val="004C7EE7"/>
    <w:rsid w:val="004D28C8"/>
    <w:rsid w:val="004D2DEE"/>
    <w:rsid w:val="004D2E1F"/>
    <w:rsid w:val="004D3DE5"/>
    <w:rsid w:val="004D7FD9"/>
    <w:rsid w:val="004E06E1"/>
    <w:rsid w:val="004E1324"/>
    <w:rsid w:val="004E19A5"/>
    <w:rsid w:val="004E37E5"/>
    <w:rsid w:val="004E3FDB"/>
    <w:rsid w:val="004F1316"/>
    <w:rsid w:val="004F1F4A"/>
    <w:rsid w:val="004F296D"/>
    <w:rsid w:val="004F508B"/>
    <w:rsid w:val="004F695F"/>
    <w:rsid w:val="004F6CA4"/>
    <w:rsid w:val="00500752"/>
    <w:rsid w:val="00501A50"/>
    <w:rsid w:val="0050222D"/>
    <w:rsid w:val="00503AF3"/>
    <w:rsid w:val="005053FA"/>
    <w:rsid w:val="0050696D"/>
    <w:rsid w:val="0051094B"/>
    <w:rsid w:val="005110D7"/>
    <w:rsid w:val="00511D99"/>
    <w:rsid w:val="005128D3"/>
    <w:rsid w:val="00512EFF"/>
    <w:rsid w:val="005147E8"/>
    <w:rsid w:val="005158F2"/>
    <w:rsid w:val="00520C5D"/>
    <w:rsid w:val="005248BD"/>
    <w:rsid w:val="00524EED"/>
    <w:rsid w:val="00525B2F"/>
    <w:rsid w:val="00526400"/>
    <w:rsid w:val="00526DFC"/>
    <w:rsid w:val="00526F43"/>
    <w:rsid w:val="0052705B"/>
    <w:rsid w:val="00527651"/>
    <w:rsid w:val="0053140F"/>
    <w:rsid w:val="00532458"/>
    <w:rsid w:val="00535F95"/>
    <w:rsid w:val="005363AB"/>
    <w:rsid w:val="00544EF4"/>
    <w:rsid w:val="00545E53"/>
    <w:rsid w:val="00546410"/>
    <w:rsid w:val="005479D9"/>
    <w:rsid w:val="005572BD"/>
    <w:rsid w:val="00557A12"/>
    <w:rsid w:val="00560AC7"/>
    <w:rsid w:val="00561AFB"/>
    <w:rsid w:val="00561FA8"/>
    <w:rsid w:val="005635ED"/>
    <w:rsid w:val="00565253"/>
    <w:rsid w:val="00570191"/>
    <w:rsid w:val="00570570"/>
    <w:rsid w:val="00570C83"/>
    <w:rsid w:val="00572512"/>
    <w:rsid w:val="00573EE6"/>
    <w:rsid w:val="0057547F"/>
    <w:rsid w:val="005754EE"/>
    <w:rsid w:val="0057617E"/>
    <w:rsid w:val="005762B9"/>
    <w:rsid w:val="00576497"/>
    <w:rsid w:val="005832A2"/>
    <w:rsid w:val="005835E7"/>
    <w:rsid w:val="0058397F"/>
    <w:rsid w:val="00583BF8"/>
    <w:rsid w:val="00585F33"/>
    <w:rsid w:val="00591124"/>
    <w:rsid w:val="00597024"/>
    <w:rsid w:val="005971D0"/>
    <w:rsid w:val="005A0274"/>
    <w:rsid w:val="005A095C"/>
    <w:rsid w:val="005A1297"/>
    <w:rsid w:val="005A2518"/>
    <w:rsid w:val="005A3198"/>
    <w:rsid w:val="005A5326"/>
    <w:rsid w:val="005A669D"/>
    <w:rsid w:val="005A75D8"/>
    <w:rsid w:val="005A77A3"/>
    <w:rsid w:val="005B713E"/>
    <w:rsid w:val="005C0096"/>
    <w:rsid w:val="005C03B6"/>
    <w:rsid w:val="005C348E"/>
    <w:rsid w:val="005C34CF"/>
    <w:rsid w:val="005C68E1"/>
    <w:rsid w:val="005D1AF7"/>
    <w:rsid w:val="005D3763"/>
    <w:rsid w:val="005D55E1"/>
    <w:rsid w:val="005D75CA"/>
    <w:rsid w:val="005E19F7"/>
    <w:rsid w:val="005E4F04"/>
    <w:rsid w:val="005E62C2"/>
    <w:rsid w:val="005E6C71"/>
    <w:rsid w:val="005E767C"/>
    <w:rsid w:val="005E795B"/>
    <w:rsid w:val="005F0963"/>
    <w:rsid w:val="005F2265"/>
    <w:rsid w:val="005F2824"/>
    <w:rsid w:val="005F2EBA"/>
    <w:rsid w:val="005F35ED"/>
    <w:rsid w:val="005F5205"/>
    <w:rsid w:val="005F7812"/>
    <w:rsid w:val="005F7A88"/>
    <w:rsid w:val="00603A1A"/>
    <w:rsid w:val="006046D5"/>
    <w:rsid w:val="0060536B"/>
    <w:rsid w:val="00607A93"/>
    <w:rsid w:val="00610C08"/>
    <w:rsid w:val="00610DEA"/>
    <w:rsid w:val="00611F74"/>
    <w:rsid w:val="00615772"/>
    <w:rsid w:val="00621256"/>
    <w:rsid w:val="00621CB9"/>
    <w:rsid w:val="00621FCC"/>
    <w:rsid w:val="00622E4B"/>
    <w:rsid w:val="006333DA"/>
    <w:rsid w:val="00635134"/>
    <w:rsid w:val="006356E2"/>
    <w:rsid w:val="006361C7"/>
    <w:rsid w:val="00637CD4"/>
    <w:rsid w:val="00642A65"/>
    <w:rsid w:val="00644435"/>
    <w:rsid w:val="00645DCE"/>
    <w:rsid w:val="006465AC"/>
    <w:rsid w:val="006465BF"/>
    <w:rsid w:val="00653B22"/>
    <w:rsid w:val="006546C8"/>
    <w:rsid w:val="00656968"/>
    <w:rsid w:val="00657BF4"/>
    <w:rsid w:val="006603FB"/>
    <w:rsid w:val="006608DF"/>
    <w:rsid w:val="00661343"/>
    <w:rsid w:val="006623AC"/>
    <w:rsid w:val="006623BF"/>
    <w:rsid w:val="006678AF"/>
    <w:rsid w:val="006701EF"/>
    <w:rsid w:val="0067162B"/>
    <w:rsid w:val="00672257"/>
    <w:rsid w:val="0067346B"/>
    <w:rsid w:val="00673BA5"/>
    <w:rsid w:val="006749DF"/>
    <w:rsid w:val="00680058"/>
    <w:rsid w:val="00681AF3"/>
    <w:rsid w:val="00681F9F"/>
    <w:rsid w:val="006840EA"/>
    <w:rsid w:val="006844E2"/>
    <w:rsid w:val="00685267"/>
    <w:rsid w:val="006872AE"/>
    <w:rsid w:val="00690082"/>
    <w:rsid w:val="00690252"/>
    <w:rsid w:val="006946BB"/>
    <w:rsid w:val="006969FA"/>
    <w:rsid w:val="006A0A15"/>
    <w:rsid w:val="006A35D5"/>
    <w:rsid w:val="006A748A"/>
    <w:rsid w:val="006C419E"/>
    <w:rsid w:val="006C4A31"/>
    <w:rsid w:val="006C5AC2"/>
    <w:rsid w:val="006C6558"/>
    <w:rsid w:val="006C6AFB"/>
    <w:rsid w:val="006D2735"/>
    <w:rsid w:val="006D45B2"/>
    <w:rsid w:val="006D5791"/>
    <w:rsid w:val="006E0FCC"/>
    <w:rsid w:val="006E10B7"/>
    <w:rsid w:val="006E1E96"/>
    <w:rsid w:val="006E52AA"/>
    <w:rsid w:val="006E5E21"/>
    <w:rsid w:val="006E737F"/>
    <w:rsid w:val="006F1B9C"/>
    <w:rsid w:val="006F2648"/>
    <w:rsid w:val="006F2F10"/>
    <w:rsid w:val="006F482B"/>
    <w:rsid w:val="006F6311"/>
    <w:rsid w:val="00701952"/>
    <w:rsid w:val="00702556"/>
    <w:rsid w:val="0070277E"/>
    <w:rsid w:val="00704156"/>
    <w:rsid w:val="007069FC"/>
    <w:rsid w:val="007075EA"/>
    <w:rsid w:val="00711221"/>
    <w:rsid w:val="007121C4"/>
    <w:rsid w:val="00712675"/>
    <w:rsid w:val="00713808"/>
    <w:rsid w:val="007151B6"/>
    <w:rsid w:val="0071520D"/>
    <w:rsid w:val="00715DB2"/>
    <w:rsid w:val="00715EDB"/>
    <w:rsid w:val="007160D5"/>
    <w:rsid w:val="007163FB"/>
    <w:rsid w:val="007165C6"/>
    <w:rsid w:val="0071697A"/>
    <w:rsid w:val="00717085"/>
    <w:rsid w:val="00717C2E"/>
    <w:rsid w:val="007204FA"/>
    <w:rsid w:val="007213B3"/>
    <w:rsid w:val="0072457F"/>
    <w:rsid w:val="0072492C"/>
    <w:rsid w:val="00725406"/>
    <w:rsid w:val="0072621B"/>
    <w:rsid w:val="00730555"/>
    <w:rsid w:val="007310EA"/>
    <w:rsid w:val="007312CC"/>
    <w:rsid w:val="00736A64"/>
    <w:rsid w:val="00737F6A"/>
    <w:rsid w:val="00740640"/>
    <w:rsid w:val="007410B6"/>
    <w:rsid w:val="0074240B"/>
    <w:rsid w:val="00744C6F"/>
    <w:rsid w:val="007457F6"/>
    <w:rsid w:val="00745ABB"/>
    <w:rsid w:val="00746E38"/>
    <w:rsid w:val="00747CD5"/>
    <w:rsid w:val="00750700"/>
    <w:rsid w:val="00750874"/>
    <w:rsid w:val="00753B51"/>
    <w:rsid w:val="00756629"/>
    <w:rsid w:val="00757435"/>
    <w:rsid w:val="007575D2"/>
    <w:rsid w:val="00757B4F"/>
    <w:rsid w:val="00757B6A"/>
    <w:rsid w:val="007610E0"/>
    <w:rsid w:val="007621AA"/>
    <w:rsid w:val="0076260A"/>
    <w:rsid w:val="00764A67"/>
    <w:rsid w:val="00770F6B"/>
    <w:rsid w:val="00771883"/>
    <w:rsid w:val="00776DC2"/>
    <w:rsid w:val="00780122"/>
    <w:rsid w:val="007804CF"/>
    <w:rsid w:val="0078214B"/>
    <w:rsid w:val="0078498A"/>
    <w:rsid w:val="007852E3"/>
    <w:rsid w:val="00787887"/>
    <w:rsid w:val="007878FE"/>
    <w:rsid w:val="00792207"/>
    <w:rsid w:val="007925DF"/>
    <w:rsid w:val="00792B64"/>
    <w:rsid w:val="00792E29"/>
    <w:rsid w:val="0079379A"/>
    <w:rsid w:val="00794953"/>
    <w:rsid w:val="00794D17"/>
    <w:rsid w:val="007A1046"/>
    <w:rsid w:val="007A1F2F"/>
    <w:rsid w:val="007A2A5C"/>
    <w:rsid w:val="007A5150"/>
    <w:rsid w:val="007A5373"/>
    <w:rsid w:val="007A555D"/>
    <w:rsid w:val="007A789F"/>
    <w:rsid w:val="007B0AB4"/>
    <w:rsid w:val="007B3042"/>
    <w:rsid w:val="007B5303"/>
    <w:rsid w:val="007B75BC"/>
    <w:rsid w:val="007C0BD6"/>
    <w:rsid w:val="007C3806"/>
    <w:rsid w:val="007C488C"/>
    <w:rsid w:val="007C5BB7"/>
    <w:rsid w:val="007C7137"/>
    <w:rsid w:val="007D07D5"/>
    <w:rsid w:val="007D14B8"/>
    <w:rsid w:val="007D1C64"/>
    <w:rsid w:val="007D32DD"/>
    <w:rsid w:val="007D4DC4"/>
    <w:rsid w:val="007D6DCE"/>
    <w:rsid w:val="007D72C4"/>
    <w:rsid w:val="007E2CFE"/>
    <w:rsid w:val="007E4590"/>
    <w:rsid w:val="007E49BF"/>
    <w:rsid w:val="007E4FC4"/>
    <w:rsid w:val="007E59C9"/>
    <w:rsid w:val="007F0072"/>
    <w:rsid w:val="007F18D3"/>
    <w:rsid w:val="007F2EB6"/>
    <w:rsid w:val="007F319C"/>
    <w:rsid w:val="007F4493"/>
    <w:rsid w:val="007F54C3"/>
    <w:rsid w:val="007F6C3B"/>
    <w:rsid w:val="00800AF1"/>
    <w:rsid w:val="00802949"/>
    <w:rsid w:val="0080301E"/>
    <w:rsid w:val="0080365F"/>
    <w:rsid w:val="008128C2"/>
    <w:rsid w:val="00812BE5"/>
    <w:rsid w:val="008158CD"/>
    <w:rsid w:val="00817429"/>
    <w:rsid w:val="00821514"/>
    <w:rsid w:val="00821E35"/>
    <w:rsid w:val="00822F9C"/>
    <w:rsid w:val="00824591"/>
    <w:rsid w:val="00824AED"/>
    <w:rsid w:val="008259E9"/>
    <w:rsid w:val="00827820"/>
    <w:rsid w:val="00830779"/>
    <w:rsid w:val="00831B8B"/>
    <w:rsid w:val="0083405D"/>
    <w:rsid w:val="008352D4"/>
    <w:rsid w:val="00836DB9"/>
    <w:rsid w:val="00837C67"/>
    <w:rsid w:val="0084048B"/>
    <w:rsid w:val="008415B0"/>
    <w:rsid w:val="00842028"/>
    <w:rsid w:val="00842BEB"/>
    <w:rsid w:val="008436B8"/>
    <w:rsid w:val="008448F3"/>
    <w:rsid w:val="008460B6"/>
    <w:rsid w:val="008462B6"/>
    <w:rsid w:val="00850C9D"/>
    <w:rsid w:val="00852103"/>
    <w:rsid w:val="00852B59"/>
    <w:rsid w:val="00852F5D"/>
    <w:rsid w:val="00856272"/>
    <w:rsid w:val="008563FF"/>
    <w:rsid w:val="0086018B"/>
    <w:rsid w:val="008611DD"/>
    <w:rsid w:val="00861662"/>
    <w:rsid w:val="00861E6C"/>
    <w:rsid w:val="008620DE"/>
    <w:rsid w:val="00866867"/>
    <w:rsid w:val="00866929"/>
    <w:rsid w:val="00872257"/>
    <w:rsid w:val="00873CAB"/>
    <w:rsid w:val="008753E6"/>
    <w:rsid w:val="0087738C"/>
    <w:rsid w:val="008802AF"/>
    <w:rsid w:val="00881926"/>
    <w:rsid w:val="008823EA"/>
    <w:rsid w:val="00882C52"/>
    <w:rsid w:val="0088318F"/>
    <w:rsid w:val="0088331D"/>
    <w:rsid w:val="008852B0"/>
    <w:rsid w:val="00885AE7"/>
    <w:rsid w:val="00886B60"/>
    <w:rsid w:val="00887889"/>
    <w:rsid w:val="00890017"/>
    <w:rsid w:val="008920FF"/>
    <w:rsid w:val="008926E8"/>
    <w:rsid w:val="00894F19"/>
    <w:rsid w:val="00896A10"/>
    <w:rsid w:val="008971B5"/>
    <w:rsid w:val="008A02B3"/>
    <w:rsid w:val="008A319B"/>
    <w:rsid w:val="008A5D26"/>
    <w:rsid w:val="008A66A4"/>
    <w:rsid w:val="008A6B13"/>
    <w:rsid w:val="008A6ECB"/>
    <w:rsid w:val="008B024D"/>
    <w:rsid w:val="008B0BF9"/>
    <w:rsid w:val="008B25EC"/>
    <w:rsid w:val="008B2866"/>
    <w:rsid w:val="008B3859"/>
    <w:rsid w:val="008B436D"/>
    <w:rsid w:val="008B4E49"/>
    <w:rsid w:val="008B684C"/>
    <w:rsid w:val="008B7712"/>
    <w:rsid w:val="008B7B26"/>
    <w:rsid w:val="008C3524"/>
    <w:rsid w:val="008C3EDC"/>
    <w:rsid w:val="008C4061"/>
    <w:rsid w:val="008C4229"/>
    <w:rsid w:val="008C5682"/>
    <w:rsid w:val="008C5BE0"/>
    <w:rsid w:val="008C7233"/>
    <w:rsid w:val="008D1645"/>
    <w:rsid w:val="008D2434"/>
    <w:rsid w:val="008E171D"/>
    <w:rsid w:val="008E2785"/>
    <w:rsid w:val="008E78A3"/>
    <w:rsid w:val="008F0654"/>
    <w:rsid w:val="008F06CB"/>
    <w:rsid w:val="008F1447"/>
    <w:rsid w:val="008F2E83"/>
    <w:rsid w:val="008F4F1A"/>
    <w:rsid w:val="008F612A"/>
    <w:rsid w:val="00901793"/>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FEE"/>
    <w:rsid w:val="009331E5"/>
    <w:rsid w:val="009332A2"/>
    <w:rsid w:val="00936E97"/>
    <w:rsid w:val="00937598"/>
    <w:rsid w:val="0093790B"/>
    <w:rsid w:val="00943751"/>
    <w:rsid w:val="00946DD0"/>
    <w:rsid w:val="00950201"/>
    <w:rsid w:val="009509E6"/>
    <w:rsid w:val="00952018"/>
    <w:rsid w:val="00952800"/>
    <w:rsid w:val="0095300D"/>
    <w:rsid w:val="00956812"/>
    <w:rsid w:val="0095719A"/>
    <w:rsid w:val="0095764F"/>
    <w:rsid w:val="009623E9"/>
    <w:rsid w:val="00963EEB"/>
    <w:rsid w:val="009648BC"/>
    <w:rsid w:val="00964C2F"/>
    <w:rsid w:val="00965F88"/>
    <w:rsid w:val="009667E9"/>
    <w:rsid w:val="00971413"/>
    <w:rsid w:val="00971D3D"/>
    <w:rsid w:val="0097670E"/>
    <w:rsid w:val="00984E03"/>
    <w:rsid w:val="00985521"/>
    <w:rsid w:val="009872C6"/>
    <w:rsid w:val="00987E85"/>
    <w:rsid w:val="0099167B"/>
    <w:rsid w:val="009A0A90"/>
    <w:rsid w:val="009A0D12"/>
    <w:rsid w:val="009A1987"/>
    <w:rsid w:val="009A25C6"/>
    <w:rsid w:val="009A2BEE"/>
    <w:rsid w:val="009A5289"/>
    <w:rsid w:val="009A74F9"/>
    <w:rsid w:val="009A780A"/>
    <w:rsid w:val="009A7A53"/>
    <w:rsid w:val="009B0402"/>
    <w:rsid w:val="009B0B75"/>
    <w:rsid w:val="009B16DF"/>
    <w:rsid w:val="009B25D6"/>
    <w:rsid w:val="009B4CB2"/>
    <w:rsid w:val="009B6701"/>
    <w:rsid w:val="009B6EF7"/>
    <w:rsid w:val="009B7000"/>
    <w:rsid w:val="009B739C"/>
    <w:rsid w:val="009C04EC"/>
    <w:rsid w:val="009C0A9F"/>
    <w:rsid w:val="009C25FC"/>
    <w:rsid w:val="009C328C"/>
    <w:rsid w:val="009C4444"/>
    <w:rsid w:val="009C79AD"/>
    <w:rsid w:val="009C7CA6"/>
    <w:rsid w:val="009D2A18"/>
    <w:rsid w:val="009D3316"/>
    <w:rsid w:val="009D3CCC"/>
    <w:rsid w:val="009D4733"/>
    <w:rsid w:val="009D55AA"/>
    <w:rsid w:val="009E2A12"/>
    <w:rsid w:val="009E3E77"/>
    <w:rsid w:val="009E3FAB"/>
    <w:rsid w:val="009E5B3F"/>
    <w:rsid w:val="009E7D90"/>
    <w:rsid w:val="009F1AB0"/>
    <w:rsid w:val="009F3F7C"/>
    <w:rsid w:val="009F501D"/>
    <w:rsid w:val="00A039D5"/>
    <w:rsid w:val="00A046AD"/>
    <w:rsid w:val="00A079C1"/>
    <w:rsid w:val="00A108F3"/>
    <w:rsid w:val="00A12520"/>
    <w:rsid w:val="00A130FD"/>
    <w:rsid w:val="00A13D6D"/>
    <w:rsid w:val="00A14769"/>
    <w:rsid w:val="00A1575B"/>
    <w:rsid w:val="00A16151"/>
    <w:rsid w:val="00A16EC6"/>
    <w:rsid w:val="00A17B0D"/>
    <w:rsid w:val="00A17C06"/>
    <w:rsid w:val="00A2126E"/>
    <w:rsid w:val="00A21706"/>
    <w:rsid w:val="00A23A1E"/>
    <w:rsid w:val="00A242A3"/>
    <w:rsid w:val="00A24FCC"/>
    <w:rsid w:val="00A26A90"/>
    <w:rsid w:val="00A26B27"/>
    <w:rsid w:val="00A30E4F"/>
    <w:rsid w:val="00A32253"/>
    <w:rsid w:val="00A3310E"/>
    <w:rsid w:val="00A333A0"/>
    <w:rsid w:val="00A34367"/>
    <w:rsid w:val="00A3507F"/>
    <w:rsid w:val="00A35191"/>
    <w:rsid w:val="00A37E70"/>
    <w:rsid w:val="00A41060"/>
    <w:rsid w:val="00A437E1"/>
    <w:rsid w:val="00A44FF8"/>
    <w:rsid w:val="00A462F5"/>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063A"/>
    <w:rsid w:val="00A824DD"/>
    <w:rsid w:val="00A83676"/>
    <w:rsid w:val="00A83B7B"/>
    <w:rsid w:val="00A84274"/>
    <w:rsid w:val="00A844A7"/>
    <w:rsid w:val="00A850F3"/>
    <w:rsid w:val="00A864E3"/>
    <w:rsid w:val="00A9423D"/>
    <w:rsid w:val="00A94574"/>
    <w:rsid w:val="00A95936"/>
    <w:rsid w:val="00A96265"/>
    <w:rsid w:val="00A97084"/>
    <w:rsid w:val="00AA1C2C"/>
    <w:rsid w:val="00AA2532"/>
    <w:rsid w:val="00AA308F"/>
    <w:rsid w:val="00AA35F6"/>
    <w:rsid w:val="00AA3C09"/>
    <w:rsid w:val="00AA5759"/>
    <w:rsid w:val="00AA667C"/>
    <w:rsid w:val="00AA6E91"/>
    <w:rsid w:val="00AA7439"/>
    <w:rsid w:val="00AB047E"/>
    <w:rsid w:val="00AB0B0A"/>
    <w:rsid w:val="00AB0BB7"/>
    <w:rsid w:val="00AB22C6"/>
    <w:rsid w:val="00AB290C"/>
    <w:rsid w:val="00AB2AD0"/>
    <w:rsid w:val="00AB67FC"/>
    <w:rsid w:val="00AB6EDB"/>
    <w:rsid w:val="00AC00F2"/>
    <w:rsid w:val="00AC31B5"/>
    <w:rsid w:val="00AC4EA1"/>
    <w:rsid w:val="00AC5381"/>
    <w:rsid w:val="00AC5920"/>
    <w:rsid w:val="00AD0E65"/>
    <w:rsid w:val="00AD104B"/>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0190"/>
    <w:rsid w:val="00B13921"/>
    <w:rsid w:val="00B1528C"/>
    <w:rsid w:val="00B16ACD"/>
    <w:rsid w:val="00B16C32"/>
    <w:rsid w:val="00B20E7D"/>
    <w:rsid w:val="00B21487"/>
    <w:rsid w:val="00B22D4F"/>
    <w:rsid w:val="00B232D1"/>
    <w:rsid w:val="00B24DB5"/>
    <w:rsid w:val="00B26074"/>
    <w:rsid w:val="00B309C0"/>
    <w:rsid w:val="00B3116B"/>
    <w:rsid w:val="00B31F9E"/>
    <w:rsid w:val="00B3268F"/>
    <w:rsid w:val="00B32C2C"/>
    <w:rsid w:val="00B33A1A"/>
    <w:rsid w:val="00B33E6C"/>
    <w:rsid w:val="00B35B66"/>
    <w:rsid w:val="00B371CC"/>
    <w:rsid w:val="00B41CD9"/>
    <w:rsid w:val="00B427E6"/>
    <w:rsid w:val="00B428A6"/>
    <w:rsid w:val="00B42F07"/>
    <w:rsid w:val="00B4335D"/>
    <w:rsid w:val="00B43527"/>
    <w:rsid w:val="00B43E1F"/>
    <w:rsid w:val="00B45FBC"/>
    <w:rsid w:val="00B460D8"/>
    <w:rsid w:val="00B51A7D"/>
    <w:rsid w:val="00B535C2"/>
    <w:rsid w:val="00B55544"/>
    <w:rsid w:val="00B642FC"/>
    <w:rsid w:val="00B64D26"/>
    <w:rsid w:val="00B64FBB"/>
    <w:rsid w:val="00B70E22"/>
    <w:rsid w:val="00B72E0C"/>
    <w:rsid w:val="00B774CB"/>
    <w:rsid w:val="00B80402"/>
    <w:rsid w:val="00B80B9A"/>
    <w:rsid w:val="00B830B7"/>
    <w:rsid w:val="00B848EA"/>
    <w:rsid w:val="00B84B2B"/>
    <w:rsid w:val="00B90500"/>
    <w:rsid w:val="00B9176C"/>
    <w:rsid w:val="00B935A4"/>
    <w:rsid w:val="00B96B43"/>
    <w:rsid w:val="00BA561A"/>
    <w:rsid w:val="00BB0DC6"/>
    <w:rsid w:val="00BB15E4"/>
    <w:rsid w:val="00BB1E19"/>
    <w:rsid w:val="00BB21D1"/>
    <w:rsid w:val="00BB32F2"/>
    <w:rsid w:val="00BB4338"/>
    <w:rsid w:val="00BB588D"/>
    <w:rsid w:val="00BB6C0E"/>
    <w:rsid w:val="00BB7B38"/>
    <w:rsid w:val="00BC05D1"/>
    <w:rsid w:val="00BC11E5"/>
    <w:rsid w:val="00BC4BC6"/>
    <w:rsid w:val="00BC52FD"/>
    <w:rsid w:val="00BC6E62"/>
    <w:rsid w:val="00BC7443"/>
    <w:rsid w:val="00BC7BA8"/>
    <w:rsid w:val="00BD0274"/>
    <w:rsid w:val="00BD0648"/>
    <w:rsid w:val="00BD1040"/>
    <w:rsid w:val="00BD34AA"/>
    <w:rsid w:val="00BD5DB1"/>
    <w:rsid w:val="00BD7E55"/>
    <w:rsid w:val="00BE0C44"/>
    <w:rsid w:val="00BE1A97"/>
    <w:rsid w:val="00BE1B8B"/>
    <w:rsid w:val="00BE2A18"/>
    <w:rsid w:val="00BE2C01"/>
    <w:rsid w:val="00BE41EC"/>
    <w:rsid w:val="00BE56FB"/>
    <w:rsid w:val="00BF3DDE"/>
    <w:rsid w:val="00BF4FAB"/>
    <w:rsid w:val="00BF5344"/>
    <w:rsid w:val="00BF6589"/>
    <w:rsid w:val="00BF6F7F"/>
    <w:rsid w:val="00C00647"/>
    <w:rsid w:val="00C02764"/>
    <w:rsid w:val="00C02D4F"/>
    <w:rsid w:val="00C04CEF"/>
    <w:rsid w:val="00C0662F"/>
    <w:rsid w:val="00C11943"/>
    <w:rsid w:val="00C12A18"/>
    <w:rsid w:val="00C12E96"/>
    <w:rsid w:val="00C14763"/>
    <w:rsid w:val="00C16141"/>
    <w:rsid w:val="00C16B34"/>
    <w:rsid w:val="00C2363F"/>
    <w:rsid w:val="00C236C8"/>
    <w:rsid w:val="00C260B1"/>
    <w:rsid w:val="00C26E56"/>
    <w:rsid w:val="00C30392"/>
    <w:rsid w:val="00C31406"/>
    <w:rsid w:val="00C326A6"/>
    <w:rsid w:val="00C37194"/>
    <w:rsid w:val="00C40637"/>
    <w:rsid w:val="00C40F6C"/>
    <w:rsid w:val="00C44426"/>
    <w:rsid w:val="00C445F3"/>
    <w:rsid w:val="00C451F4"/>
    <w:rsid w:val="00C45EB1"/>
    <w:rsid w:val="00C5302A"/>
    <w:rsid w:val="00C54A3A"/>
    <w:rsid w:val="00C55566"/>
    <w:rsid w:val="00C55731"/>
    <w:rsid w:val="00C56448"/>
    <w:rsid w:val="00C56B32"/>
    <w:rsid w:val="00C63D79"/>
    <w:rsid w:val="00C667BE"/>
    <w:rsid w:val="00C6766B"/>
    <w:rsid w:val="00C72223"/>
    <w:rsid w:val="00C73E6B"/>
    <w:rsid w:val="00C76417"/>
    <w:rsid w:val="00C7726F"/>
    <w:rsid w:val="00C823DA"/>
    <w:rsid w:val="00C8259F"/>
    <w:rsid w:val="00C82746"/>
    <w:rsid w:val="00C8312F"/>
    <w:rsid w:val="00C84C47"/>
    <w:rsid w:val="00C858A4"/>
    <w:rsid w:val="00C86753"/>
    <w:rsid w:val="00C86AFA"/>
    <w:rsid w:val="00C90D10"/>
    <w:rsid w:val="00C935F0"/>
    <w:rsid w:val="00C93772"/>
    <w:rsid w:val="00C93A8C"/>
    <w:rsid w:val="00C9675F"/>
    <w:rsid w:val="00CA44A1"/>
    <w:rsid w:val="00CA4BC6"/>
    <w:rsid w:val="00CB1315"/>
    <w:rsid w:val="00CB18D0"/>
    <w:rsid w:val="00CB1C8A"/>
    <w:rsid w:val="00CB24F5"/>
    <w:rsid w:val="00CB2663"/>
    <w:rsid w:val="00CB3BBE"/>
    <w:rsid w:val="00CB59E9"/>
    <w:rsid w:val="00CC0D6A"/>
    <w:rsid w:val="00CC3831"/>
    <w:rsid w:val="00CC3E3D"/>
    <w:rsid w:val="00CC519B"/>
    <w:rsid w:val="00CC5229"/>
    <w:rsid w:val="00CC64CD"/>
    <w:rsid w:val="00CD12C1"/>
    <w:rsid w:val="00CD214E"/>
    <w:rsid w:val="00CD46FA"/>
    <w:rsid w:val="00CD4FD8"/>
    <w:rsid w:val="00CD5973"/>
    <w:rsid w:val="00CD66B8"/>
    <w:rsid w:val="00CE0013"/>
    <w:rsid w:val="00CE03F5"/>
    <w:rsid w:val="00CE31A6"/>
    <w:rsid w:val="00CE446C"/>
    <w:rsid w:val="00CF09AA"/>
    <w:rsid w:val="00CF12F3"/>
    <w:rsid w:val="00CF4645"/>
    <w:rsid w:val="00CF4813"/>
    <w:rsid w:val="00CF5233"/>
    <w:rsid w:val="00CF5C40"/>
    <w:rsid w:val="00CF7A1C"/>
    <w:rsid w:val="00D01F13"/>
    <w:rsid w:val="00D029B8"/>
    <w:rsid w:val="00D02F60"/>
    <w:rsid w:val="00D038E8"/>
    <w:rsid w:val="00D0464E"/>
    <w:rsid w:val="00D04A96"/>
    <w:rsid w:val="00D07A7B"/>
    <w:rsid w:val="00D10E06"/>
    <w:rsid w:val="00D1120E"/>
    <w:rsid w:val="00D141BF"/>
    <w:rsid w:val="00D1451F"/>
    <w:rsid w:val="00D15197"/>
    <w:rsid w:val="00D16820"/>
    <w:rsid w:val="00D169C8"/>
    <w:rsid w:val="00D1793F"/>
    <w:rsid w:val="00D22AF5"/>
    <w:rsid w:val="00D235EA"/>
    <w:rsid w:val="00D247A9"/>
    <w:rsid w:val="00D26A85"/>
    <w:rsid w:val="00D32721"/>
    <w:rsid w:val="00D328DC"/>
    <w:rsid w:val="00D33387"/>
    <w:rsid w:val="00D402FB"/>
    <w:rsid w:val="00D41FB0"/>
    <w:rsid w:val="00D45988"/>
    <w:rsid w:val="00D47731"/>
    <w:rsid w:val="00D47D7A"/>
    <w:rsid w:val="00D50ABD"/>
    <w:rsid w:val="00D53FE7"/>
    <w:rsid w:val="00D55290"/>
    <w:rsid w:val="00D57791"/>
    <w:rsid w:val="00D6046A"/>
    <w:rsid w:val="00D620E6"/>
    <w:rsid w:val="00D62870"/>
    <w:rsid w:val="00D644EC"/>
    <w:rsid w:val="00D655D9"/>
    <w:rsid w:val="00D65872"/>
    <w:rsid w:val="00D676F3"/>
    <w:rsid w:val="00D70EF5"/>
    <w:rsid w:val="00D71024"/>
    <w:rsid w:val="00D71A25"/>
    <w:rsid w:val="00D71FCF"/>
    <w:rsid w:val="00D72A54"/>
    <w:rsid w:val="00D72CC1"/>
    <w:rsid w:val="00D744DD"/>
    <w:rsid w:val="00D76CE5"/>
    <w:rsid w:val="00D76E9B"/>
    <w:rsid w:val="00D76EC9"/>
    <w:rsid w:val="00D800E0"/>
    <w:rsid w:val="00D80E7D"/>
    <w:rsid w:val="00D81397"/>
    <w:rsid w:val="00D81873"/>
    <w:rsid w:val="00D848B9"/>
    <w:rsid w:val="00D90E69"/>
    <w:rsid w:val="00D91368"/>
    <w:rsid w:val="00D93096"/>
    <w:rsid w:val="00D93106"/>
    <w:rsid w:val="00D933E9"/>
    <w:rsid w:val="00D945C3"/>
    <w:rsid w:val="00D9505D"/>
    <w:rsid w:val="00D953D0"/>
    <w:rsid w:val="00D959F5"/>
    <w:rsid w:val="00D96493"/>
    <w:rsid w:val="00D96884"/>
    <w:rsid w:val="00D96D22"/>
    <w:rsid w:val="00D96D6A"/>
    <w:rsid w:val="00DA00BC"/>
    <w:rsid w:val="00DA23E6"/>
    <w:rsid w:val="00DA3689"/>
    <w:rsid w:val="00DA3FDD"/>
    <w:rsid w:val="00DA43AB"/>
    <w:rsid w:val="00DA5C87"/>
    <w:rsid w:val="00DA7017"/>
    <w:rsid w:val="00DA7028"/>
    <w:rsid w:val="00DA7EF8"/>
    <w:rsid w:val="00DB175B"/>
    <w:rsid w:val="00DB1AD2"/>
    <w:rsid w:val="00DB23CD"/>
    <w:rsid w:val="00DB2B58"/>
    <w:rsid w:val="00DB3464"/>
    <w:rsid w:val="00DB5206"/>
    <w:rsid w:val="00DB5E86"/>
    <w:rsid w:val="00DB6276"/>
    <w:rsid w:val="00DB63F5"/>
    <w:rsid w:val="00DC1C6B"/>
    <w:rsid w:val="00DC2C2E"/>
    <w:rsid w:val="00DC4AF0"/>
    <w:rsid w:val="00DC7886"/>
    <w:rsid w:val="00DD0CF2"/>
    <w:rsid w:val="00DD6E31"/>
    <w:rsid w:val="00DE1554"/>
    <w:rsid w:val="00DE282E"/>
    <w:rsid w:val="00DE2901"/>
    <w:rsid w:val="00DE3430"/>
    <w:rsid w:val="00DE590F"/>
    <w:rsid w:val="00DE7DC1"/>
    <w:rsid w:val="00DF3F7E"/>
    <w:rsid w:val="00DF55A6"/>
    <w:rsid w:val="00DF7648"/>
    <w:rsid w:val="00E00E29"/>
    <w:rsid w:val="00E02BAB"/>
    <w:rsid w:val="00E04CEB"/>
    <w:rsid w:val="00E060BC"/>
    <w:rsid w:val="00E068D1"/>
    <w:rsid w:val="00E102B0"/>
    <w:rsid w:val="00E11420"/>
    <w:rsid w:val="00E11529"/>
    <w:rsid w:val="00E132FB"/>
    <w:rsid w:val="00E15119"/>
    <w:rsid w:val="00E156CD"/>
    <w:rsid w:val="00E1596F"/>
    <w:rsid w:val="00E15F21"/>
    <w:rsid w:val="00E170B7"/>
    <w:rsid w:val="00E177DD"/>
    <w:rsid w:val="00E17F55"/>
    <w:rsid w:val="00E20900"/>
    <w:rsid w:val="00E20C7F"/>
    <w:rsid w:val="00E2396E"/>
    <w:rsid w:val="00E243EE"/>
    <w:rsid w:val="00E24728"/>
    <w:rsid w:val="00E25113"/>
    <w:rsid w:val="00E276AC"/>
    <w:rsid w:val="00E343E5"/>
    <w:rsid w:val="00E34A35"/>
    <w:rsid w:val="00E3747E"/>
    <w:rsid w:val="00E37C2F"/>
    <w:rsid w:val="00E41C28"/>
    <w:rsid w:val="00E437CD"/>
    <w:rsid w:val="00E445E6"/>
    <w:rsid w:val="00E46308"/>
    <w:rsid w:val="00E51E17"/>
    <w:rsid w:val="00E52DAB"/>
    <w:rsid w:val="00E539B0"/>
    <w:rsid w:val="00E55994"/>
    <w:rsid w:val="00E55EAA"/>
    <w:rsid w:val="00E60606"/>
    <w:rsid w:val="00E60C66"/>
    <w:rsid w:val="00E6164D"/>
    <w:rsid w:val="00E618C9"/>
    <w:rsid w:val="00E62774"/>
    <w:rsid w:val="00E6307C"/>
    <w:rsid w:val="00E636FA"/>
    <w:rsid w:val="00E66949"/>
    <w:rsid w:val="00E66AAC"/>
    <w:rsid w:val="00E66C50"/>
    <w:rsid w:val="00E679D3"/>
    <w:rsid w:val="00E71208"/>
    <w:rsid w:val="00E71444"/>
    <w:rsid w:val="00E71C91"/>
    <w:rsid w:val="00E720A1"/>
    <w:rsid w:val="00E72DC5"/>
    <w:rsid w:val="00E75DDA"/>
    <w:rsid w:val="00E76B7C"/>
    <w:rsid w:val="00E773E8"/>
    <w:rsid w:val="00E83623"/>
    <w:rsid w:val="00E83ADD"/>
    <w:rsid w:val="00E83D61"/>
    <w:rsid w:val="00E84D0D"/>
    <w:rsid w:val="00E84EBE"/>
    <w:rsid w:val="00E84F38"/>
    <w:rsid w:val="00E85623"/>
    <w:rsid w:val="00E87441"/>
    <w:rsid w:val="00E91FAE"/>
    <w:rsid w:val="00E96E3F"/>
    <w:rsid w:val="00E973FB"/>
    <w:rsid w:val="00EA1B07"/>
    <w:rsid w:val="00EA270C"/>
    <w:rsid w:val="00EA4974"/>
    <w:rsid w:val="00EA532E"/>
    <w:rsid w:val="00EA6ECF"/>
    <w:rsid w:val="00EB06D9"/>
    <w:rsid w:val="00EB192B"/>
    <w:rsid w:val="00EB19ED"/>
    <w:rsid w:val="00EB1CAB"/>
    <w:rsid w:val="00EB5CA7"/>
    <w:rsid w:val="00EB6B45"/>
    <w:rsid w:val="00EC0314"/>
    <w:rsid w:val="00EC093E"/>
    <w:rsid w:val="00EC0F5A"/>
    <w:rsid w:val="00EC4265"/>
    <w:rsid w:val="00EC4CEB"/>
    <w:rsid w:val="00EC60A0"/>
    <w:rsid w:val="00EC659E"/>
    <w:rsid w:val="00EC6D42"/>
    <w:rsid w:val="00ED013C"/>
    <w:rsid w:val="00ED2072"/>
    <w:rsid w:val="00ED2AE0"/>
    <w:rsid w:val="00ED5553"/>
    <w:rsid w:val="00ED5E36"/>
    <w:rsid w:val="00ED6961"/>
    <w:rsid w:val="00EE18E4"/>
    <w:rsid w:val="00EE23C0"/>
    <w:rsid w:val="00EE4B15"/>
    <w:rsid w:val="00EE55B1"/>
    <w:rsid w:val="00EE7159"/>
    <w:rsid w:val="00EF0685"/>
    <w:rsid w:val="00EF0B96"/>
    <w:rsid w:val="00EF1E83"/>
    <w:rsid w:val="00EF2D56"/>
    <w:rsid w:val="00EF3486"/>
    <w:rsid w:val="00EF47AF"/>
    <w:rsid w:val="00EF53B6"/>
    <w:rsid w:val="00F00B73"/>
    <w:rsid w:val="00F01AC9"/>
    <w:rsid w:val="00F040FA"/>
    <w:rsid w:val="00F11050"/>
    <w:rsid w:val="00F115CA"/>
    <w:rsid w:val="00F14817"/>
    <w:rsid w:val="00F14EBA"/>
    <w:rsid w:val="00F1510F"/>
    <w:rsid w:val="00F1533A"/>
    <w:rsid w:val="00F15D5A"/>
    <w:rsid w:val="00F15E5A"/>
    <w:rsid w:val="00F15FC9"/>
    <w:rsid w:val="00F1614D"/>
    <w:rsid w:val="00F16CEC"/>
    <w:rsid w:val="00F17F0A"/>
    <w:rsid w:val="00F2046A"/>
    <w:rsid w:val="00F205C2"/>
    <w:rsid w:val="00F2577C"/>
    <w:rsid w:val="00F2668F"/>
    <w:rsid w:val="00F26EE8"/>
    <w:rsid w:val="00F2742F"/>
    <w:rsid w:val="00F2753B"/>
    <w:rsid w:val="00F33F8B"/>
    <w:rsid w:val="00F340B2"/>
    <w:rsid w:val="00F362F3"/>
    <w:rsid w:val="00F373E2"/>
    <w:rsid w:val="00F43390"/>
    <w:rsid w:val="00F443B2"/>
    <w:rsid w:val="00F458D8"/>
    <w:rsid w:val="00F50237"/>
    <w:rsid w:val="00F53596"/>
    <w:rsid w:val="00F55BA8"/>
    <w:rsid w:val="00F55DB1"/>
    <w:rsid w:val="00F56525"/>
    <w:rsid w:val="00F56ACA"/>
    <w:rsid w:val="00F600FE"/>
    <w:rsid w:val="00F60812"/>
    <w:rsid w:val="00F62E4D"/>
    <w:rsid w:val="00F66201"/>
    <w:rsid w:val="00F66B34"/>
    <w:rsid w:val="00F6756D"/>
    <w:rsid w:val="00F675B9"/>
    <w:rsid w:val="00F711C9"/>
    <w:rsid w:val="00F7347E"/>
    <w:rsid w:val="00F746FD"/>
    <w:rsid w:val="00F74C59"/>
    <w:rsid w:val="00F75C3A"/>
    <w:rsid w:val="00F82E30"/>
    <w:rsid w:val="00F831CB"/>
    <w:rsid w:val="00F83E86"/>
    <w:rsid w:val="00F848A3"/>
    <w:rsid w:val="00F84ACF"/>
    <w:rsid w:val="00F85742"/>
    <w:rsid w:val="00F85BF8"/>
    <w:rsid w:val="00F871CE"/>
    <w:rsid w:val="00F87802"/>
    <w:rsid w:val="00F92C0A"/>
    <w:rsid w:val="00F9415B"/>
    <w:rsid w:val="00F95AAC"/>
    <w:rsid w:val="00FA13C2"/>
    <w:rsid w:val="00FA7F91"/>
    <w:rsid w:val="00FB121C"/>
    <w:rsid w:val="00FB1700"/>
    <w:rsid w:val="00FB1CDD"/>
    <w:rsid w:val="00FB1FB2"/>
    <w:rsid w:val="00FB2C2F"/>
    <w:rsid w:val="00FB305C"/>
    <w:rsid w:val="00FC2E3D"/>
    <w:rsid w:val="00FC3058"/>
    <w:rsid w:val="00FC3BDE"/>
    <w:rsid w:val="00FC4C1D"/>
    <w:rsid w:val="00FC65E0"/>
    <w:rsid w:val="00FD1DBE"/>
    <w:rsid w:val="00FD2492"/>
    <w:rsid w:val="00FD25A7"/>
    <w:rsid w:val="00FD27B6"/>
    <w:rsid w:val="00FD3689"/>
    <w:rsid w:val="00FD3C8B"/>
    <w:rsid w:val="00FD42A3"/>
    <w:rsid w:val="00FD59DE"/>
    <w:rsid w:val="00FD7468"/>
    <w:rsid w:val="00FD7CE0"/>
    <w:rsid w:val="00FE0153"/>
    <w:rsid w:val="00FE0B3B"/>
    <w:rsid w:val="00FE1BE2"/>
    <w:rsid w:val="00FE31F6"/>
    <w:rsid w:val="00FE730A"/>
    <w:rsid w:val="00FF0D1F"/>
    <w:rsid w:val="00FF1DD7"/>
    <w:rsid w:val="00FF4453"/>
    <w:rsid w:val="00FF4E22"/>
  </w:rsids>
  <m:mathPr>
    <m:mathFont m:val="Cambria Math"/>
    <m:brkBin m:val="before"/>
    <m:brkBinSub m:val="--"/>
    <m:smallFrac/>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A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0"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AA308F"/>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qFormat/>
    <w:rsid w:val="00AA308F"/>
    <w:pPr>
      <w:spacing w:line="240" w:lineRule="auto"/>
      <w:ind w:left="720"/>
      <w:contextualSpacing/>
    </w:pPr>
    <w:rPr>
      <w:rFonts w:ascii="Verdana" w:eastAsia="Noto Sans CJK SC" w:hAnsi="Verdana" w:cs="Lohit Devanagari"/>
      <w:kern w:val="2"/>
      <w:sz w:val="20"/>
      <w:szCs w:val="24"/>
      <w:lang w:eastAsia="zh-CN" w:bidi="hi-IN"/>
    </w:rPr>
  </w:style>
  <w:style w:type="character" w:styleId="Hipercze">
    <w:name w:val="Hyperlink"/>
    <w:basedOn w:val="Domylnaczcionkaakapitu"/>
    <w:uiPriority w:val="99"/>
    <w:unhideWhenUsed/>
    <w:rsid w:val="003D4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0"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AA308F"/>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qFormat/>
    <w:rsid w:val="00AA308F"/>
    <w:pPr>
      <w:spacing w:line="240" w:lineRule="auto"/>
      <w:ind w:left="720"/>
      <w:contextualSpacing/>
    </w:pPr>
    <w:rPr>
      <w:rFonts w:ascii="Verdana" w:eastAsia="Noto Sans CJK SC" w:hAnsi="Verdana" w:cs="Lohit Devanagari"/>
      <w:kern w:val="2"/>
      <w:sz w:val="20"/>
      <w:szCs w:val="24"/>
      <w:lang w:eastAsia="zh-CN" w:bidi="hi-IN"/>
    </w:rPr>
  </w:style>
  <w:style w:type="character" w:styleId="Hipercze">
    <w:name w:val="Hyperlink"/>
    <w:basedOn w:val="Domylnaczcionkaakapitu"/>
    <w:uiPriority w:val="99"/>
    <w:unhideWhenUsed/>
    <w:rsid w:val="003D4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0703">
      <w:bodyDiv w:val="1"/>
      <w:marLeft w:val="0"/>
      <w:marRight w:val="0"/>
      <w:marTop w:val="0"/>
      <w:marBottom w:val="0"/>
      <w:divBdr>
        <w:top w:val="none" w:sz="0" w:space="0" w:color="auto"/>
        <w:left w:val="none" w:sz="0" w:space="0" w:color="auto"/>
        <w:bottom w:val="none" w:sz="0" w:space="0" w:color="auto"/>
        <w:right w:val="none" w:sz="0" w:space="0" w:color="auto"/>
      </w:divBdr>
    </w:div>
    <w:div w:id="498695129">
      <w:bodyDiv w:val="1"/>
      <w:marLeft w:val="0"/>
      <w:marRight w:val="0"/>
      <w:marTop w:val="0"/>
      <w:marBottom w:val="0"/>
      <w:divBdr>
        <w:top w:val="none" w:sz="0" w:space="0" w:color="auto"/>
        <w:left w:val="none" w:sz="0" w:space="0" w:color="auto"/>
        <w:bottom w:val="none" w:sz="0" w:space="0" w:color="auto"/>
        <w:right w:val="none" w:sz="0" w:space="0" w:color="auto"/>
      </w:divBdr>
    </w:div>
    <w:div w:id="1202010282">
      <w:bodyDiv w:val="1"/>
      <w:marLeft w:val="0"/>
      <w:marRight w:val="0"/>
      <w:marTop w:val="0"/>
      <w:marBottom w:val="0"/>
      <w:divBdr>
        <w:top w:val="none" w:sz="0" w:space="0" w:color="auto"/>
        <w:left w:val="none" w:sz="0" w:space="0" w:color="auto"/>
        <w:bottom w:val="none" w:sz="0" w:space="0" w:color="auto"/>
        <w:right w:val="none" w:sz="0" w:space="0" w:color="auto"/>
      </w:divBdr>
      <w:divsChild>
        <w:div w:id="1834835873">
          <w:marLeft w:val="0"/>
          <w:marRight w:val="0"/>
          <w:marTop w:val="0"/>
          <w:marBottom w:val="0"/>
          <w:divBdr>
            <w:top w:val="none" w:sz="0" w:space="0" w:color="auto"/>
            <w:left w:val="none" w:sz="0" w:space="0" w:color="auto"/>
            <w:bottom w:val="none" w:sz="0" w:space="0" w:color="auto"/>
            <w:right w:val="none" w:sz="0" w:space="0" w:color="auto"/>
          </w:divBdr>
        </w:div>
      </w:divsChild>
    </w:div>
    <w:div w:id="1426415661">
      <w:bodyDiv w:val="1"/>
      <w:marLeft w:val="0"/>
      <w:marRight w:val="0"/>
      <w:marTop w:val="0"/>
      <w:marBottom w:val="0"/>
      <w:divBdr>
        <w:top w:val="none" w:sz="0" w:space="0" w:color="auto"/>
        <w:left w:val="none" w:sz="0" w:space="0" w:color="auto"/>
        <w:bottom w:val="none" w:sz="0" w:space="0" w:color="auto"/>
        <w:right w:val="none" w:sz="0" w:space="0" w:color="auto"/>
      </w:divBdr>
    </w:div>
    <w:div w:id="1439063077">
      <w:bodyDiv w:val="1"/>
      <w:marLeft w:val="0"/>
      <w:marRight w:val="0"/>
      <w:marTop w:val="0"/>
      <w:marBottom w:val="0"/>
      <w:divBdr>
        <w:top w:val="none" w:sz="0" w:space="0" w:color="auto"/>
        <w:left w:val="none" w:sz="0" w:space="0" w:color="auto"/>
        <w:bottom w:val="none" w:sz="0" w:space="0" w:color="auto"/>
        <w:right w:val="none" w:sz="0" w:space="0" w:color="auto"/>
      </w:divBdr>
    </w:div>
    <w:div w:id="1538858634">
      <w:bodyDiv w:val="1"/>
      <w:marLeft w:val="0"/>
      <w:marRight w:val="0"/>
      <w:marTop w:val="0"/>
      <w:marBottom w:val="0"/>
      <w:divBdr>
        <w:top w:val="none" w:sz="0" w:space="0" w:color="auto"/>
        <w:left w:val="none" w:sz="0" w:space="0" w:color="auto"/>
        <w:bottom w:val="none" w:sz="0" w:space="0" w:color="auto"/>
        <w:right w:val="none" w:sz="0" w:space="0" w:color="auto"/>
      </w:divBdr>
      <w:divsChild>
        <w:div w:id="3428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ojtachnio\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5EF102-2019-4CF1-B6B0-179922E2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18</Pages>
  <Words>5469</Words>
  <Characters>32818</Characters>
  <Application>Microsoft Office Word</Application>
  <DocSecurity>0</DocSecurity>
  <Lines>273</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ustawy o zmianie ustawy o dostępności cyfrowej stron internetowych i aplikacji mobilnych podmiotów publicznych 1.07.2021</vt:lpstr>
      <vt:lpstr>p r o j e k t</vt:lpstr>
    </vt:vector>
  </TitlesOfParts>
  <Company>&lt;nazwa organu&gt;</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ustawy o zmianie ustawy o dostępności cyfrowej stron internetowych i aplikacji mobilnych podmiotów publicznych 1.07.2021</dc:title>
  <dc:creator>Gubernat Barbara</dc:creator>
  <cp:lastModifiedBy>Krzysztof Kotyniewicz</cp:lastModifiedBy>
  <cp:revision>2</cp:revision>
  <cp:lastPrinted>2012-04-23T06:39:00Z</cp:lastPrinted>
  <dcterms:created xsi:type="dcterms:W3CDTF">2021-11-03T14:12:00Z</dcterms:created>
  <dcterms:modified xsi:type="dcterms:W3CDTF">2021-11-03T14:12:00Z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